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3C" w:rsidRDefault="00930588" w:rsidP="00930588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30588">
        <w:rPr>
          <w:rFonts w:ascii="Times New Roman" w:hAnsi="Times New Roman" w:cs="Times New Roman"/>
          <w:b/>
          <w:sz w:val="24"/>
          <w:szCs w:val="24"/>
          <w:lang w:val="en-ID"/>
        </w:rPr>
        <w:t xml:space="preserve">RINGKASAN </w:t>
      </w:r>
    </w:p>
    <w:p w:rsidR="00226DF3" w:rsidRPr="00930588" w:rsidRDefault="00930588" w:rsidP="00930588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930588">
        <w:rPr>
          <w:rFonts w:ascii="Times New Roman" w:hAnsi="Times New Roman" w:cs="Times New Roman"/>
          <w:b/>
          <w:sz w:val="24"/>
          <w:szCs w:val="24"/>
          <w:lang w:val="en-ID"/>
        </w:rPr>
        <w:t>KEGIATAN PENGABDIAN KEPADA MASYARAKAT</w:t>
      </w:r>
    </w:p>
    <w:p w:rsidR="00930588" w:rsidRPr="00930588" w:rsidRDefault="00930588">
      <w:pPr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"/>
        <w:gridCol w:w="1527"/>
        <w:gridCol w:w="7669"/>
      </w:tblGrid>
      <w:tr w:rsidR="00113A95" w:rsidRPr="00113A95" w:rsidTr="00113A95">
        <w:tc>
          <w:tcPr>
            <w:tcW w:w="534" w:type="dxa"/>
            <w:tcBorders>
              <w:top w:val="nil"/>
            </w:tcBorders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1.</w:t>
            </w:r>
          </w:p>
        </w:tc>
        <w:tc>
          <w:tcPr>
            <w:tcW w:w="2409" w:type="dxa"/>
            <w:tcBorders>
              <w:top w:val="nil"/>
            </w:tcBorders>
          </w:tcPr>
          <w:p w:rsidR="00930588" w:rsidRPr="00113A95" w:rsidRDefault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Nama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</w:p>
        </w:tc>
        <w:tc>
          <w:tcPr>
            <w:tcW w:w="6633" w:type="dxa"/>
            <w:tcBorders>
              <w:top w:val="nil"/>
            </w:tcBorders>
          </w:tcPr>
          <w:p w:rsidR="00930588" w:rsidRPr="00113A95" w:rsidRDefault="00930588" w:rsidP="00113A9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Workshop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Pendampingan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Guru-Guru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Kota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Mengembangkan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</w:t>
            </w:r>
            <w:bookmarkStart w:id="0" w:name="_GoBack"/>
            <w:bookmarkEnd w:id="0"/>
            <w:r w:rsidRPr="00113A95">
              <w:rPr>
                <w:rFonts w:ascii="Times New Roman" w:hAnsi="Times New Roman" w:cs="Times New Roman"/>
                <w:lang w:val="en-ID"/>
              </w:rPr>
              <w:t>eri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Blended-Learning</w:t>
            </w:r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Google Classroom</w:t>
            </w: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2409" w:type="dxa"/>
          </w:tcPr>
          <w:p w:rsidR="00930588" w:rsidRPr="00113A95" w:rsidRDefault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Tim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Pelaksana</w:t>
            </w:r>
            <w:proofErr w:type="spellEnd"/>
          </w:p>
        </w:tc>
        <w:tc>
          <w:tcPr>
            <w:tcW w:w="6633" w:type="dxa"/>
          </w:tcPr>
          <w:p w:rsidR="00930588" w:rsidRPr="00113A95" w:rsidRDefault="00930588" w:rsidP="00113A95">
            <w:pPr>
              <w:spacing w:line="0" w:lineRule="atLeast"/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I Made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Sujana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H.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Waluyo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Arifuddin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&amp;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Hj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. Henny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Soepriyanti</w:t>
            </w:r>
            <w:proofErr w:type="spellEnd"/>
          </w:p>
          <w:p w:rsidR="00930588" w:rsidRPr="00113A95" w:rsidRDefault="00930588" w:rsidP="00113A95">
            <w:pPr>
              <w:spacing w:line="0" w:lineRule="atLeast"/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PS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FKIP UNRAM</w:t>
            </w: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3</w:t>
            </w:r>
          </w:p>
        </w:tc>
        <w:tc>
          <w:tcPr>
            <w:tcW w:w="2409" w:type="dxa"/>
          </w:tcPr>
          <w:p w:rsidR="00930588" w:rsidRPr="00113A95" w:rsidRDefault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Tempat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>/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Pelaksanaan</w:t>
            </w:r>
            <w:proofErr w:type="spellEnd"/>
          </w:p>
        </w:tc>
        <w:tc>
          <w:tcPr>
            <w:tcW w:w="6633" w:type="dxa"/>
          </w:tcPr>
          <w:p w:rsidR="00930588" w:rsidRPr="00113A95" w:rsidRDefault="00930588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Lingua Franca Institute (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MaLFI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)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</w:p>
          <w:p w:rsidR="00930588" w:rsidRPr="00113A95" w:rsidRDefault="00930588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14 September 2019</w:t>
            </w:r>
          </w:p>
        </w:tc>
      </w:tr>
      <w:tr w:rsidR="00330959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4</w:t>
            </w:r>
          </w:p>
        </w:tc>
        <w:tc>
          <w:tcPr>
            <w:tcW w:w="2409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Khalayak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Sasaran</w:t>
            </w:r>
            <w:proofErr w:type="spellEnd"/>
          </w:p>
        </w:tc>
        <w:tc>
          <w:tcPr>
            <w:tcW w:w="6633" w:type="dxa"/>
          </w:tcPr>
          <w:p w:rsidR="00930588" w:rsidRPr="00113A95" w:rsidRDefault="00930588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Guru-Guru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Kota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Mahasiswa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PS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FKIP UNRAM</w:t>
            </w: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5</w:t>
            </w:r>
          </w:p>
        </w:tc>
        <w:tc>
          <w:tcPr>
            <w:tcW w:w="2409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Latar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Belakang</w:t>
            </w:r>
            <w:proofErr w:type="spellEnd"/>
          </w:p>
        </w:tc>
        <w:tc>
          <w:tcPr>
            <w:tcW w:w="6633" w:type="dxa"/>
          </w:tcPr>
          <w:p w:rsidR="00CE431E" w:rsidRPr="00113A95" w:rsidRDefault="00CE431E" w:rsidP="00113A9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Era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Revolusi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Industri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4.0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ditandai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digitalisasi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otomatisasi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berbagai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aspek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kehidupan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guru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dituntut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lebih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kreatif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inovatif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perencanaan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pengelolaan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. Guru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era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selalu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dituntut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melakukan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inovasi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.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Memenuhi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tuntutan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di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atas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inovasi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dapat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dikembangkan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oleh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adalah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merancang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(Blended Learning),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yaitu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memadukan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tatap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muka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(face-to-face)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teknologi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(online) (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Banados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2006; Friesen, 2012; Johnson &amp; Marsh, 2014; Kaur, 2013; Whittaker, 2013).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melaksanakan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Blended/Hybrid Learning,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berbagai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perusahan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ICT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membuatkan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berbagai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software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website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online (Learning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Managment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System/LMS)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memudahkan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mengelola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. Salah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LMS gratis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dunia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adalah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Google Classroom (GC).</w:t>
            </w:r>
          </w:p>
          <w:p w:rsidR="00CE431E" w:rsidRPr="00113A95" w:rsidRDefault="00CE431E" w:rsidP="00113A9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</w:p>
          <w:p w:rsidR="00930588" w:rsidRPr="00113A95" w:rsidRDefault="00CE431E" w:rsidP="00113A9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GC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merupakan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serambi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dirancang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memudahkan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dunia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merancang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membagikan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mengelompokkan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penugasan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angket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tanpa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kertas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(paperless) (Bell, 2015</w:t>
            </w:r>
            <w:proofErr w:type="gramStart"/>
            <w:r w:rsidRPr="00113A95">
              <w:rPr>
                <w:rFonts w:ascii="Times New Roman" w:hAnsi="Times New Roman" w:cs="Times New Roman"/>
                <w:lang w:val="en-ID"/>
              </w:rPr>
              <w:t>;</w:t>
            </w:r>
            <w:proofErr w:type="gramEnd"/>
            <w:r w:rsidRPr="00113A95">
              <w:rPr>
                <w:rFonts w:ascii="Times New Roman" w:hAnsi="Times New Roman" w:cs="Times New Roman"/>
                <w:lang w:val="en-ID"/>
              </w:rPr>
              <w:t xml:space="preserve"> Keeler &amp; Miller, 2015). GC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memiliki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beberapa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keunggulan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antara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lain: proses setting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cepat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nyaman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hemat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waktu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dapat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meningkatkan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kerjasama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komunikasi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penyimpanan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data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terpusat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berbagi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sumber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dengan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cepat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.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Karena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keunggulan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inilah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mendorong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Tim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Pengabdian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PS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mendampingi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mengembangkan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lebih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lanjut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Learning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Google Classroom</w:t>
            </w:r>
            <w:r w:rsidRPr="00113A95">
              <w:rPr>
                <w:rFonts w:ascii="Times New Roman" w:hAnsi="Times New Roman" w:cs="Times New Roman"/>
                <w:lang w:val="en-ID"/>
              </w:rPr>
              <w:t>.</w:t>
            </w: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6</w:t>
            </w:r>
          </w:p>
        </w:tc>
        <w:tc>
          <w:tcPr>
            <w:tcW w:w="2409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Tujuan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</w:p>
        </w:tc>
        <w:tc>
          <w:tcPr>
            <w:tcW w:w="6633" w:type="dxa"/>
          </w:tcPr>
          <w:p w:rsidR="00330959" w:rsidRPr="00113A95" w:rsidRDefault="00330959" w:rsidP="00113A95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Pengabdian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kepada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Masyarakat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bertujuan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>:</w:t>
            </w:r>
          </w:p>
          <w:p w:rsidR="00330959" w:rsidRPr="00113A95" w:rsidRDefault="00330959" w:rsidP="00113A9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Meningkatkan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kompetensi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guru-guru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Kota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mengelola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Google Classroom</w:t>
            </w:r>
            <w:r w:rsidRPr="00113A95">
              <w:rPr>
                <w:rFonts w:ascii="Times New Roman" w:hAnsi="Times New Roman" w:cs="Times New Roman"/>
                <w:lang w:val="en-ID"/>
              </w:rPr>
              <w:t>.</w:t>
            </w:r>
          </w:p>
          <w:p w:rsidR="00330959" w:rsidRPr="00113A95" w:rsidRDefault="00330959" w:rsidP="00113A9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Mengembangkan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berbagai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materi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instrument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dngan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Google Form</w:t>
            </w:r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menunjang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Learning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Google Classroom.</w:t>
            </w:r>
          </w:p>
          <w:p w:rsidR="00330959" w:rsidRPr="00113A95" w:rsidRDefault="00330959" w:rsidP="00113A9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Mengembangkan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konten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Blended Learning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berbasis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Google Classroom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kebutuhan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kelas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masing-masing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guru.</w:t>
            </w:r>
          </w:p>
          <w:p w:rsidR="00930588" w:rsidRPr="00113A95" w:rsidRDefault="00930588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7</w:t>
            </w:r>
          </w:p>
        </w:tc>
        <w:tc>
          <w:tcPr>
            <w:tcW w:w="2409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Pelaksanaan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Dan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Hasil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</w:p>
        </w:tc>
        <w:tc>
          <w:tcPr>
            <w:tcW w:w="6633" w:type="dxa"/>
          </w:tcPr>
          <w:p w:rsidR="00330959" w:rsidRPr="00330959" w:rsidRDefault="00330959" w:rsidP="00113A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0959">
              <w:rPr>
                <w:rFonts w:ascii="Times New Roman" w:hAnsi="Times New Roman" w:cs="Times New Roman"/>
              </w:rPr>
              <w:t>Kegiatan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PKM </w:t>
            </w:r>
            <w:proofErr w:type="spellStart"/>
            <w:r w:rsidRPr="00330959">
              <w:rPr>
                <w:rFonts w:ascii="Times New Roman" w:hAnsi="Times New Roman" w:cs="Times New Roman"/>
              </w:rPr>
              <w:t>ini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pada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hari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Sabtu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, 24 September 2019 di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Mataram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Lingua Franca Institute (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Malfi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Mataram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Lombok. </w:t>
            </w:r>
            <w:proofErr w:type="spellStart"/>
            <w:r w:rsidRPr="00330959">
              <w:rPr>
                <w:rFonts w:ascii="Times New Roman" w:hAnsi="Times New Roman" w:cs="Times New Roman"/>
              </w:rPr>
              <w:t>Kegiatan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dihadiri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oleh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20 orang yang </w:t>
            </w:r>
            <w:proofErr w:type="spellStart"/>
            <w:r w:rsidRPr="00330959">
              <w:rPr>
                <w:rFonts w:ascii="Times New Roman" w:hAnsi="Times New Roman" w:cs="Times New Roman"/>
              </w:rPr>
              <w:t>terdiri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dari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guru-guru Bahasa </w:t>
            </w:r>
            <w:proofErr w:type="spellStart"/>
            <w:r w:rsidRPr="00330959">
              <w:rPr>
                <w:rFonts w:ascii="Times New Roman" w:hAnsi="Times New Roman" w:cs="Times New Roman"/>
              </w:rPr>
              <w:t>Inggris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SMP/SMA/SMK </w:t>
            </w:r>
            <w:proofErr w:type="spellStart"/>
            <w:r w:rsidRPr="00330959">
              <w:rPr>
                <w:rFonts w:ascii="Times New Roman" w:hAnsi="Times New Roman" w:cs="Times New Roman"/>
              </w:rPr>
              <w:t>sederajat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di Kota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Mataram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mahasiswa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30959">
              <w:rPr>
                <w:rFonts w:ascii="Times New Roman" w:hAnsi="Times New Roman" w:cs="Times New Roman"/>
              </w:rPr>
              <w:t>sedang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skripsi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r w:rsidRPr="00330959">
              <w:rPr>
                <w:rFonts w:ascii="Times New Roman" w:hAnsi="Times New Roman" w:cs="Times New Roman"/>
                <w:i/>
              </w:rPr>
              <w:t>Blended Learning</w:t>
            </w:r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mahasiswa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330959">
              <w:rPr>
                <w:rFonts w:ascii="Times New Roman" w:hAnsi="Times New Roman" w:cs="Times New Roman"/>
              </w:rPr>
              <w:t>mengikuti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kuliah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Media </w:t>
            </w:r>
            <w:proofErr w:type="spellStart"/>
            <w:r w:rsidRPr="00330959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difasilitasi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oleh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4 orang </w:t>
            </w:r>
            <w:proofErr w:type="spellStart"/>
            <w:r w:rsidRPr="00330959">
              <w:rPr>
                <w:rFonts w:ascii="Times New Roman" w:hAnsi="Times New Roman" w:cs="Times New Roman"/>
              </w:rPr>
              <w:lastRenderedPageBreak/>
              <w:t>dosen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0959">
              <w:rPr>
                <w:rFonts w:ascii="Times New Roman" w:hAnsi="Times New Roman" w:cs="Times New Roman"/>
              </w:rPr>
              <w:t>dari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PS </w:t>
            </w:r>
            <w:proofErr w:type="spellStart"/>
            <w:r w:rsidRPr="00330959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Bahasa </w:t>
            </w:r>
            <w:proofErr w:type="spellStart"/>
            <w:r w:rsidRPr="00330959">
              <w:rPr>
                <w:rFonts w:ascii="Times New Roman" w:hAnsi="Times New Roman" w:cs="Times New Roman"/>
              </w:rPr>
              <w:t>Inggris</w:t>
            </w:r>
            <w:proofErr w:type="spellEnd"/>
            <w:r w:rsidRPr="00330959">
              <w:rPr>
                <w:rFonts w:ascii="Times New Roman" w:hAnsi="Times New Roman" w:cs="Times New Roman"/>
              </w:rPr>
              <w:t xml:space="preserve"> FKIP UNRAM.</w:t>
            </w:r>
          </w:p>
          <w:p w:rsidR="00930588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3A95">
              <w:rPr>
                <w:rFonts w:ascii="Times New Roman" w:hAnsi="Times New Roman" w:cs="Times New Roman"/>
              </w:rPr>
              <w:t>Materi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meliputi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(1)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literasi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computer </w:t>
            </w:r>
            <w:proofErr w:type="spellStart"/>
            <w:r w:rsidRPr="00113A95">
              <w:rPr>
                <w:rFonts w:ascii="Times New Roman" w:hAnsi="Times New Roman" w:cs="Times New Roman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Era </w:t>
            </w:r>
            <w:proofErr w:type="spellStart"/>
            <w:r w:rsidRPr="00113A95">
              <w:rPr>
                <w:rFonts w:ascii="Times New Roman" w:hAnsi="Times New Roman" w:cs="Times New Roman"/>
              </w:rPr>
              <w:t>Revolusi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Industri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4,0; (2) Review </w:t>
            </w:r>
            <w:r w:rsidRPr="00113A95">
              <w:rPr>
                <w:rFonts w:ascii="Times New Roman" w:hAnsi="Times New Roman" w:cs="Times New Roman"/>
                <w:i/>
              </w:rPr>
              <w:t>Google Classroom</w:t>
            </w:r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Bahasa </w:t>
            </w:r>
            <w:proofErr w:type="spellStart"/>
            <w:r w:rsidRPr="00113A95">
              <w:rPr>
                <w:rFonts w:ascii="Times New Roman" w:hAnsi="Times New Roman" w:cs="Times New Roman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; (3)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“</w:t>
            </w:r>
            <w:r w:rsidRPr="00113A95">
              <w:rPr>
                <w:rFonts w:ascii="Times New Roman" w:hAnsi="Times New Roman" w:cs="Times New Roman"/>
                <w:i/>
              </w:rPr>
              <w:t>Content</w:t>
            </w:r>
            <w:r w:rsidRPr="00113A95">
              <w:rPr>
                <w:rFonts w:ascii="Times New Roman" w:hAnsi="Times New Roman" w:cs="Times New Roman"/>
              </w:rPr>
              <w:t xml:space="preserve">” </w:t>
            </w:r>
            <w:r w:rsidRPr="00113A95">
              <w:rPr>
                <w:rFonts w:ascii="Times New Roman" w:hAnsi="Times New Roman" w:cs="Times New Roman"/>
                <w:i/>
              </w:rPr>
              <w:t>Google Classroom</w:t>
            </w:r>
            <w:r w:rsidRPr="00113A95">
              <w:rPr>
                <w:rFonts w:ascii="Times New Roman" w:hAnsi="Times New Roman" w:cs="Times New Roman"/>
              </w:rPr>
              <w:t xml:space="preserve">; (4)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</w:rPr>
              <w:t>Google Forms</w:t>
            </w:r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untuk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penilaian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Pemaparan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materi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dilakukan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secara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kolaboratif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oleh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keempat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fasilitator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3A95">
              <w:rPr>
                <w:rFonts w:ascii="Times New Roman" w:hAnsi="Times New Roman" w:cs="Times New Roman"/>
              </w:rPr>
              <w:t>Berikut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adalah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akun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GC yang </w:t>
            </w:r>
            <w:proofErr w:type="spellStart"/>
            <w:r w:rsidRPr="00113A95">
              <w:rPr>
                <w:rFonts w:ascii="Times New Roman" w:hAnsi="Times New Roman" w:cs="Times New Roman"/>
              </w:rPr>
              <w:t>dikembangkan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oleh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peserta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kegiatan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(guru </w:t>
            </w:r>
            <w:proofErr w:type="spellStart"/>
            <w:r w:rsidRPr="00113A95">
              <w:rPr>
                <w:rFonts w:ascii="Times New Roman" w:hAnsi="Times New Roman" w:cs="Times New Roman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</w:rPr>
              <w:t>mahasiswa</w:t>
            </w:r>
            <w:proofErr w:type="spellEnd"/>
            <w:r w:rsidRPr="00113A95">
              <w:rPr>
                <w:rFonts w:ascii="Times New Roman" w:hAnsi="Times New Roman" w:cs="Times New Roman"/>
              </w:rPr>
              <w:t>)</w:t>
            </w:r>
          </w:p>
          <w:p w:rsidR="00330959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</w:rPr>
            </w:pPr>
            <w:r w:rsidRPr="00113A9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AFEEA" wp14:editId="47622F59">
                  <wp:extent cx="4570095" cy="1440707"/>
                  <wp:effectExtent l="19050" t="19050" r="190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738" cy="147779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959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  <w:lang w:val="en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45"/>
              <w:gridCol w:w="3765"/>
            </w:tblGrid>
            <w:tr w:rsidR="00330959" w:rsidRPr="00113A95" w:rsidTr="00330959">
              <w:tc>
                <w:tcPr>
                  <w:tcW w:w="3207" w:type="dxa"/>
                </w:tcPr>
                <w:p w:rsidR="00330959" w:rsidRPr="00113A95" w:rsidRDefault="00330959" w:rsidP="00113A95">
                  <w:pPr>
                    <w:pStyle w:val="ListParagraph"/>
                    <w:spacing w:line="0" w:lineRule="atLeast"/>
                    <w:ind w:left="0" w:right="9"/>
                    <w:jc w:val="both"/>
                    <w:rPr>
                      <w:rFonts w:ascii="Times New Roman" w:hAnsi="Times New Roman" w:cs="Times New Roman"/>
                      <w:lang w:val="en-ID"/>
                    </w:rPr>
                  </w:pPr>
                  <w:r w:rsidRPr="00113A9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68D41ED" wp14:editId="0426FC24">
                        <wp:extent cx="2105669" cy="935990"/>
                        <wp:effectExtent l="38100" t="38100" r="27940" b="1651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9081" cy="964177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7" w:type="dxa"/>
                </w:tcPr>
                <w:p w:rsidR="00330959" w:rsidRPr="00113A95" w:rsidRDefault="00330959" w:rsidP="00113A95">
                  <w:pPr>
                    <w:pStyle w:val="ListParagraph"/>
                    <w:spacing w:line="0" w:lineRule="atLeast"/>
                    <w:ind w:left="0" w:right="9"/>
                    <w:jc w:val="both"/>
                    <w:rPr>
                      <w:rFonts w:ascii="Times New Roman" w:hAnsi="Times New Roman" w:cs="Times New Roman"/>
                      <w:lang w:val="en-ID"/>
                    </w:rPr>
                  </w:pPr>
                  <w:r w:rsidRPr="00113A95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3ABC939" wp14:editId="70533DC9">
                        <wp:extent cx="2192797" cy="936346"/>
                        <wp:effectExtent l="38100" t="38100" r="17145" b="165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4867" cy="967121"/>
                                </a:xfrm>
                                <a:prstGeom prst="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0959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  <w:lang w:val="en-ID"/>
              </w:rPr>
            </w:pPr>
          </w:p>
          <w:p w:rsidR="00330959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Contoh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akun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>Google Classroom</w:t>
            </w:r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113A95">
              <w:rPr>
                <w:rFonts w:ascii="Times New Roman" w:hAnsi="Times New Roman" w:cs="Times New Roman"/>
                <w:i/>
                <w:lang w:val="en-ID"/>
              </w:rPr>
              <w:t xml:space="preserve">Content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satu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akun</w:t>
            </w:r>
            <w:proofErr w:type="spellEnd"/>
          </w:p>
          <w:p w:rsidR="00330959" w:rsidRPr="00113A95" w:rsidRDefault="00330959" w:rsidP="00113A95">
            <w:pPr>
              <w:pStyle w:val="ListParagraph"/>
              <w:spacing w:line="0" w:lineRule="atLeast"/>
              <w:ind w:left="0" w:right="9"/>
              <w:jc w:val="both"/>
              <w:rPr>
                <w:rFonts w:ascii="Times New Roman" w:hAnsi="Times New Roman" w:cs="Times New Roman"/>
                <w:lang w:val="en-ID"/>
              </w:rPr>
            </w:pP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lastRenderedPageBreak/>
              <w:t>8</w:t>
            </w:r>
          </w:p>
        </w:tc>
        <w:tc>
          <w:tcPr>
            <w:tcW w:w="2409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Simpulan</w:t>
            </w:r>
            <w:proofErr w:type="spellEnd"/>
          </w:p>
        </w:tc>
        <w:tc>
          <w:tcPr>
            <w:tcW w:w="6633" w:type="dxa"/>
          </w:tcPr>
          <w:p w:rsidR="00930588" w:rsidRPr="00113A95" w:rsidRDefault="00330959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bCs/>
              </w:rPr>
              <w:t xml:space="preserve">Dari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pelaksanaan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disimpulkan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antara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lain (1)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PKM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berjalan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perencanaan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melibatkan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20 orang guru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mahasiwa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difasilitasi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oleh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4 orang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tim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pengabdian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, (2)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khalayak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sasaran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mampu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mengisi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konten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GC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mata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kuliah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masing-masing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(3)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khalayak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sasaran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telah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memiliki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pengetahuan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tentang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pemanfaatan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r w:rsidRPr="00113A95">
              <w:rPr>
                <w:rFonts w:ascii="Times New Roman" w:hAnsi="Times New Roman" w:cs="Times New Roman"/>
                <w:bCs/>
                <w:i/>
              </w:rPr>
              <w:t>Google Form</w:t>
            </w:r>
            <w:r w:rsidRPr="00113A95">
              <w:rPr>
                <w:rFonts w:ascii="Times New Roman" w:hAnsi="Times New Roman" w:cs="Times New Roman"/>
                <w:bCs/>
              </w:rPr>
              <w:t xml:space="preserve">s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menunjang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pembelajaran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bCs/>
              </w:rPr>
              <w:t>survei</w:t>
            </w:r>
            <w:proofErr w:type="spellEnd"/>
            <w:r w:rsidRPr="00113A95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13A95" w:rsidRPr="00113A95" w:rsidTr="00113A95">
        <w:tc>
          <w:tcPr>
            <w:tcW w:w="534" w:type="dxa"/>
          </w:tcPr>
          <w:p w:rsidR="00113A95" w:rsidRPr="00113A95" w:rsidRDefault="00113A95" w:rsidP="00113A95">
            <w:pPr>
              <w:spacing w:line="0" w:lineRule="atLeast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>9</w:t>
            </w:r>
          </w:p>
        </w:tc>
        <w:tc>
          <w:tcPr>
            <w:tcW w:w="2409" w:type="dxa"/>
          </w:tcPr>
          <w:p w:rsidR="00113A95" w:rsidRPr="00113A95" w:rsidRDefault="00113A95" w:rsidP="00113A95">
            <w:pPr>
              <w:spacing w:line="0" w:lineRule="atLeast"/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Referensi</w:t>
            </w:r>
            <w:proofErr w:type="spellEnd"/>
          </w:p>
        </w:tc>
        <w:tc>
          <w:tcPr>
            <w:tcW w:w="6633" w:type="dxa"/>
          </w:tcPr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proofErr w:type="spellStart"/>
            <w:r w:rsidRPr="00113A95">
              <w:rPr>
                <w:sz w:val="20"/>
                <w:szCs w:val="20"/>
              </w:rPr>
              <w:t>Banados</w:t>
            </w:r>
            <w:proofErr w:type="spellEnd"/>
            <w:r w:rsidRPr="00113A95">
              <w:rPr>
                <w:sz w:val="20"/>
                <w:szCs w:val="20"/>
              </w:rPr>
              <w:t xml:space="preserve">, E. (2006) A blended-learning pedagogical model for teaching and learning EFL successfully through an </w:t>
            </w:r>
            <w:r w:rsidRPr="00113A95">
              <w:rPr>
                <w:i/>
                <w:sz w:val="20"/>
                <w:szCs w:val="20"/>
              </w:rPr>
              <w:t>online</w:t>
            </w:r>
            <w:r w:rsidRPr="00113A95">
              <w:rPr>
                <w:sz w:val="20"/>
                <w:szCs w:val="20"/>
              </w:rPr>
              <w:t xml:space="preserve"> interactive multimedia environment. </w:t>
            </w:r>
            <w:r w:rsidRPr="00113A95">
              <w:rPr>
                <w:i/>
                <w:sz w:val="20"/>
                <w:szCs w:val="20"/>
              </w:rPr>
              <w:t>CALICO Journal 23/3.</w:t>
            </w:r>
            <w:r w:rsidRPr="00113A95">
              <w:rPr>
                <w:sz w:val="20"/>
                <w:szCs w:val="20"/>
              </w:rPr>
              <w:t xml:space="preserve"> pp. 533-550.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Bell, K. (2015) </w:t>
            </w:r>
            <w:r w:rsidRPr="00113A95">
              <w:rPr>
                <w:i/>
                <w:sz w:val="20"/>
                <w:szCs w:val="20"/>
              </w:rPr>
              <w:t>The Teacher’s Guide to Google Classroom</w:t>
            </w:r>
            <w:r w:rsidRPr="00113A95">
              <w:rPr>
                <w:sz w:val="20"/>
                <w:szCs w:val="20"/>
              </w:rPr>
              <w:t xml:space="preserve">. Texas: Shake Up </w:t>
            </w:r>
            <w:proofErr w:type="spellStart"/>
            <w:r w:rsidRPr="00113A95">
              <w:rPr>
                <w:sz w:val="20"/>
                <w:szCs w:val="20"/>
              </w:rPr>
              <w:t>Learnig</w:t>
            </w:r>
            <w:proofErr w:type="spellEnd"/>
            <w:r w:rsidRPr="00113A95">
              <w:rPr>
                <w:sz w:val="20"/>
                <w:szCs w:val="20"/>
              </w:rPr>
              <w:t>, LLC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proofErr w:type="spellStart"/>
            <w:r w:rsidRPr="00113A95">
              <w:rPr>
                <w:sz w:val="20"/>
                <w:szCs w:val="20"/>
              </w:rPr>
              <w:t>Belmawa</w:t>
            </w:r>
            <w:proofErr w:type="spellEnd"/>
            <w:r w:rsidRPr="00113A95">
              <w:rPr>
                <w:sz w:val="20"/>
                <w:szCs w:val="20"/>
              </w:rPr>
              <w:t xml:space="preserve">. (2019) </w:t>
            </w:r>
            <w:proofErr w:type="spellStart"/>
            <w:r w:rsidRPr="00113A95">
              <w:rPr>
                <w:i/>
                <w:sz w:val="20"/>
                <w:szCs w:val="20"/>
              </w:rPr>
              <w:t>Panduan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Penyusunan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Kurikulum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Pendidikan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Tinggi di Era </w:t>
            </w:r>
            <w:proofErr w:type="spellStart"/>
            <w:r w:rsidRPr="00113A95">
              <w:rPr>
                <w:i/>
                <w:sz w:val="20"/>
                <w:szCs w:val="20"/>
              </w:rPr>
              <w:t>Industri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4</w:t>
            </w:r>
            <w:proofErr w:type="gramStart"/>
            <w:r w:rsidRPr="00113A95">
              <w:rPr>
                <w:i/>
                <w:sz w:val="20"/>
                <w:szCs w:val="20"/>
              </w:rPr>
              <w:t>,0</w:t>
            </w:r>
            <w:proofErr w:type="gramEnd"/>
            <w:r w:rsidRPr="00113A95">
              <w:rPr>
                <w:i/>
                <w:sz w:val="20"/>
                <w:szCs w:val="20"/>
              </w:rPr>
              <w:t>.</w:t>
            </w:r>
            <w:r w:rsidRPr="00113A95">
              <w:rPr>
                <w:sz w:val="20"/>
                <w:szCs w:val="20"/>
              </w:rPr>
              <w:t xml:space="preserve"> Jakarta: </w:t>
            </w:r>
            <w:proofErr w:type="spellStart"/>
            <w:r w:rsidRPr="00113A95">
              <w:rPr>
                <w:sz w:val="20"/>
                <w:szCs w:val="20"/>
              </w:rPr>
              <w:t>Direktorat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Belmawa</w:t>
            </w:r>
            <w:proofErr w:type="spellEnd"/>
            <w:r w:rsidRPr="00113A95">
              <w:rPr>
                <w:sz w:val="20"/>
                <w:szCs w:val="20"/>
              </w:rPr>
              <w:t xml:space="preserve">, </w:t>
            </w:r>
            <w:proofErr w:type="spellStart"/>
            <w:r w:rsidRPr="00113A95">
              <w:rPr>
                <w:sz w:val="20"/>
                <w:szCs w:val="20"/>
              </w:rPr>
              <w:t>Kemenristekdikti</w:t>
            </w:r>
            <w:proofErr w:type="spellEnd"/>
            <w:r w:rsidRPr="00113A95">
              <w:rPr>
                <w:sz w:val="20"/>
                <w:szCs w:val="20"/>
              </w:rPr>
              <w:t>.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proofErr w:type="spellStart"/>
            <w:r w:rsidRPr="00113A95">
              <w:rPr>
                <w:sz w:val="20"/>
                <w:szCs w:val="20"/>
              </w:rPr>
              <w:t>Fadel</w:t>
            </w:r>
            <w:proofErr w:type="spellEnd"/>
            <w:r w:rsidRPr="00113A95">
              <w:rPr>
                <w:sz w:val="20"/>
                <w:szCs w:val="20"/>
              </w:rPr>
              <w:t xml:space="preserve">, C. (2012). </w:t>
            </w:r>
            <w:r w:rsidRPr="00113A95">
              <w:rPr>
                <w:color w:val="212121"/>
                <w:sz w:val="20"/>
                <w:szCs w:val="20"/>
              </w:rPr>
              <w:t xml:space="preserve">What should students learn in the 21st century? accessed from </w:t>
            </w:r>
            <w:hyperlink r:id="rId8" w:history="1">
              <w:r w:rsidRPr="00113A95">
                <w:rPr>
                  <w:rStyle w:val="Hyperlink"/>
                  <w:bCs/>
                  <w:kern w:val="36"/>
                  <w:sz w:val="20"/>
                  <w:szCs w:val="20"/>
                </w:rPr>
                <w:t>https://k12.thoughtfullearning.com/FAQ/what-are-21st-century-skills</w:t>
              </w:r>
            </w:hyperlink>
            <w:r w:rsidRPr="00113A95">
              <w:rPr>
                <w:bCs/>
                <w:kern w:val="36"/>
                <w:sz w:val="20"/>
                <w:szCs w:val="20"/>
              </w:rPr>
              <w:t xml:space="preserve"> on 24 January 2019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567" w:hanging="567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Friesen, N. (2012). Report: defining </w:t>
            </w:r>
            <w:r w:rsidRPr="00113A95">
              <w:rPr>
                <w:i/>
                <w:sz w:val="20"/>
                <w:szCs w:val="20"/>
              </w:rPr>
              <w:t>Blended Learning</w:t>
            </w:r>
            <w:r w:rsidRPr="00113A95">
              <w:rPr>
                <w:sz w:val="20"/>
                <w:szCs w:val="20"/>
              </w:rPr>
              <w:t>. Retrieved from http://learningspaces.org/papers/Defining_Blen ded_Learning_NF.pdf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GIHE, (2010) </w:t>
            </w:r>
            <w:r w:rsidRPr="00113A95">
              <w:rPr>
                <w:i/>
                <w:sz w:val="20"/>
                <w:szCs w:val="20"/>
              </w:rPr>
              <w:t>Getting Started with Blended Learning</w:t>
            </w:r>
            <w:r w:rsidRPr="00113A95">
              <w:rPr>
                <w:sz w:val="20"/>
                <w:szCs w:val="20"/>
              </w:rPr>
              <w:t>. Griffith: Griffith University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Johnson, </w:t>
            </w:r>
            <w:proofErr w:type="spellStart"/>
            <w:r w:rsidRPr="00113A95">
              <w:rPr>
                <w:sz w:val="20"/>
                <w:szCs w:val="20"/>
              </w:rPr>
              <w:t>c.P</w:t>
            </w:r>
            <w:proofErr w:type="spellEnd"/>
            <w:r w:rsidRPr="00113A95">
              <w:rPr>
                <w:sz w:val="20"/>
                <w:szCs w:val="20"/>
              </w:rPr>
              <w:t xml:space="preserve">. &amp; Marsh, D. (2014) Blended Language Learning: An Effective Solution but not Without Its Challenges. </w:t>
            </w:r>
            <w:r w:rsidRPr="00113A95">
              <w:rPr>
                <w:i/>
                <w:sz w:val="20"/>
                <w:szCs w:val="20"/>
              </w:rPr>
              <w:t xml:space="preserve">Higher Learning </w:t>
            </w:r>
            <w:proofErr w:type="spellStart"/>
            <w:r w:rsidRPr="00113A95">
              <w:rPr>
                <w:i/>
                <w:sz w:val="20"/>
                <w:szCs w:val="20"/>
              </w:rPr>
              <w:t>Researh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Communication, 4(3)</w:t>
            </w:r>
            <w:r w:rsidRPr="00113A95">
              <w:rPr>
                <w:sz w:val="20"/>
                <w:szCs w:val="20"/>
              </w:rPr>
              <w:t>, 23-41. http://dx.doi.org/10.18870/hlrc.v4i3.213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Kaur, M. (2013) </w:t>
            </w:r>
            <w:r w:rsidRPr="00113A95">
              <w:rPr>
                <w:i/>
                <w:sz w:val="20"/>
                <w:szCs w:val="20"/>
              </w:rPr>
              <w:t>Blended Learning</w:t>
            </w:r>
            <w:r w:rsidRPr="00113A95">
              <w:rPr>
                <w:sz w:val="20"/>
                <w:szCs w:val="20"/>
              </w:rPr>
              <w:t xml:space="preserve">- its challenges and future. </w:t>
            </w:r>
            <w:r w:rsidRPr="00113A95">
              <w:rPr>
                <w:i/>
                <w:sz w:val="20"/>
                <w:szCs w:val="20"/>
              </w:rPr>
              <w:t xml:space="preserve">Procedia: Social and </w:t>
            </w:r>
            <w:proofErr w:type="spellStart"/>
            <w:r w:rsidRPr="00113A95">
              <w:rPr>
                <w:i/>
                <w:sz w:val="20"/>
                <w:szCs w:val="20"/>
              </w:rPr>
              <w:t>Behavioural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Sciences, 39</w:t>
            </w:r>
            <w:r w:rsidRPr="00113A95">
              <w:rPr>
                <w:sz w:val="20"/>
                <w:szCs w:val="20"/>
              </w:rPr>
              <w:t>, 612-617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Keeler, A. </w:t>
            </w:r>
            <w:proofErr w:type="spellStart"/>
            <w:r w:rsidRPr="00113A95">
              <w:rPr>
                <w:sz w:val="20"/>
                <w:szCs w:val="20"/>
              </w:rPr>
              <w:t>dan</w:t>
            </w:r>
            <w:proofErr w:type="spellEnd"/>
            <w:r w:rsidRPr="00113A95">
              <w:rPr>
                <w:sz w:val="20"/>
                <w:szCs w:val="20"/>
              </w:rPr>
              <w:t xml:space="preserve"> Miller, L. (2015) 50 </w:t>
            </w:r>
            <w:r w:rsidRPr="00113A95">
              <w:rPr>
                <w:i/>
                <w:sz w:val="20"/>
                <w:szCs w:val="20"/>
              </w:rPr>
              <w:t>Things You Can Do with Google Classroom</w:t>
            </w:r>
            <w:r w:rsidRPr="00113A95">
              <w:rPr>
                <w:sz w:val="20"/>
                <w:szCs w:val="20"/>
              </w:rPr>
              <w:t>. San Diego, CA: Dave Burgess Consulting, Ltd.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lastRenderedPageBreak/>
              <w:t xml:space="preserve">NCREL. (2003) </w:t>
            </w:r>
            <w:proofErr w:type="spellStart"/>
            <w:r w:rsidRPr="00113A95">
              <w:rPr>
                <w:i/>
                <w:sz w:val="20"/>
                <w:szCs w:val="20"/>
              </w:rPr>
              <w:t>enGauce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21</w:t>
            </w:r>
            <w:r w:rsidRPr="00113A95">
              <w:rPr>
                <w:i/>
                <w:sz w:val="20"/>
                <w:szCs w:val="20"/>
                <w:vertAlign w:val="superscript"/>
              </w:rPr>
              <w:t>st</w:t>
            </w:r>
            <w:r w:rsidRPr="00113A95">
              <w:rPr>
                <w:i/>
                <w:sz w:val="20"/>
                <w:szCs w:val="20"/>
              </w:rPr>
              <w:t xml:space="preserve"> Century Skills: </w:t>
            </w:r>
            <w:proofErr w:type="spellStart"/>
            <w:r w:rsidRPr="00113A95">
              <w:rPr>
                <w:i/>
                <w:sz w:val="20"/>
                <w:szCs w:val="20"/>
              </w:rPr>
              <w:t>Lietracy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113A95">
              <w:rPr>
                <w:i/>
                <w:sz w:val="20"/>
                <w:szCs w:val="20"/>
              </w:rPr>
              <w:t>Digitas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Age</w:t>
            </w:r>
            <w:r w:rsidRPr="00113A95">
              <w:rPr>
                <w:sz w:val="20"/>
                <w:szCs w:val="20"/>
              </w:rPr>
              <w:t xml:space="preserve">. Illinois: NCREL &amp; </w:t>
            </w:r>
            <w:proofErr w:type="spellStart"/>
            <w:r w:rsidRPr="00113A95">
              <w:rPr>
                <w:sz w:val="20"/>
                <w:szCs w:val="20"/>
              </w:rPr>
              <w:t>Metiri</w:t>
            </w:r>
            <w:proofErr w:type="spellEnd"/>
            <w:r w:rsidRPr="00113A95">
              <w:rPr>
                <w:sz w:val="20"/>
                <w:szCs w:val="20"/>
              </w:rPr>
              <w:t xml:space="preserve"> Group. accessed on 23 January 2019 from </w:t>
            </w:r>
            <w:hyperlink w:history="1">
              <w:r w:rsidRPr="00113A95">
                <w:rPr>
                  <w:rStyle w:val="Hyperlink"/>
                  <w:sz w:val="20"/>
                  <w:szCs w:val="20"/>
                </w:rPr>
                <w:t>file:///Revolusi%20Industri%204.0%20dan%2021%20Century%20Learning/engauge21st.pdf</w:t>
              </w:r>
            </w:hyperlink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Neumeier, P. (2005) A closer look at </w:t>
            </w:r>
            <w:r w:rsidRPr="00113A95">
              <w:rPr>
                <w:i/>
                <w:sz w:val="20"/>
                <w:szCs w:val="20"/>
              </w:rPr>
              <w:t>Blended Learning</w:t>
            </w:r>
            <w:r w:rsidRPr="00113A95">
              <w:rPr>
                <w:sz w:val="20"/>
                <w:szCs w:val="20"/>
              </w:rPr>
              <w:t xml:space="preserve">- parameter for designing a </w:t>
            </w:r>
            <w:r w:rsidRPr="00113A95">
              <w:rPr>
                <w:i/>
                <w:sz w:val="20"/>
                <w:szCs w:val="20"/>
              </w:rPr>
              <w:t>Blended Learning</w:t>
            </w:r>
            <w:r w:rsidRPr="00113A95">
              <w:rPr>
                <w:sz w:val="20"/>
                <w:szCs w:val="20"/>
              </w:rPr>
              <w:t xml:space="preserve"> environment for language learning and teaching, </w:t>
            </w:r>
            <w:proofErr w:type="spellStart"/>
            <w:r w:rsidRPr="00113A95">
              <w:rPr>
                <w:i/>
                <w:sz w:val="20"/>
                <w:szCs w:val="20"/>
              </w:rPr>
              <w:t>ReCALL</w:t>
            </w:r>
            <w:proofErr w:type="spellEnd"/>
            <w:r w:rsidRPr="00113A95">
              <w:rPr>
                <w:i/>
                <w:sz w:val="20"/>
                <w:szCs w:val="20"/>
              </w:rPr>
              <w:t>, 17/2</w:t>
            </w:r>
            <w:r w:rsidRPr="00113A95">
              <w:rPr>
                <w:sz w:val="20"/>
                <w:szCs w:val="20"/>
              </w:rPr>
              <w:t>, 163-178.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Singh, H. and Reed, C. (2001) </w:t>
            </w:r>
            <w:r w:rsidRPr="00113A95">
              <w:rPr>
                <w:i/>
                <w:sz w:val="20"/>
                <w:szCs w:val="20"/>
              </w:rPr>
              <w:t>A White Paper: Achieving Success with Blended Learning</w:t>
            </w:r>
            <w:r w:rsidRPr="00113A95">
              <w:rPr>
                <w:sz w:val="20"/>
                <w:szCs w:val="20"/>
              </w:rPr>
              <w:t xml:space="preserve">. Available </w:t>
            </w:r>
            <w:r w:rsidRPr="00113A95">
              <w:rPr>
                <w:i/>
                <w:sz w:val="20"/>
                <w:szCs w:val="20"/>
              </w:rPr>
              <w:t>online</w:t>
            </w:r>
            <w:r w:rsidRPr="00113A95">
              <w:rPr>
                <w:sz w:val="20"/>
                <w:szCs w:val="20"/>
              </w:rPr>
              <w:t xml:space="preserve"> at </w:t>
            </w:r>
            <w:hyperlink r:id="rId9" w:history="1">
              <w:r w:rsidRPr="00113A95">
                <w:rPr>
                  <w:rStyle w:val="Hyperlink"/>
                  <w:sz w:val="20"/>
                  <w:szCs w:val="20"/>
                </w:rPr>
                <w:t>www.p2paertner.co.uk</w:t>
              </w:r>
            </w:hyperlink>
            <w:r w:rsidRPr="00113A95">
              <w:rPr>
                <w:sz w:val="20"/>
                <w:szCs w:val="20"/>
              </w:rPr>
              <w:t xml:space="preserve"> 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proofErr w:type="spellStart"/>
            <w:r w:rsidRPr="00113A95">
              <w:rPr>
                <w:sz w:val="20"/>
                <w:szCs w:val="20"/>
              </w:rPr>
              <w:t>Sujana</w:t>
            </w:r>
            <w:proofErr w:type="spellEnd"/>
            <w:r w:rsidRPr="00113A95">
              <w:rPr>
                <w:sz w:val="20"/>
                <w:szCs w:val="20"/>
              </w:rPr>
              <w:t xml:space="preserve">, I M., </w:t>
            </w:r>
            <w:proofErr w:type="spellStart"/>
            <w:r w:rsidRPr="00113A95">
              <w:rPr>
                <w:sz w:val="20"/>
                <w:szCs w:val="20"/>
              </w:rPr>
              <w:t>Arifuddin</w:t>
            </w:r>
            <w:proofErr w:type="spellEnd"/>
            <w:r w:rsidRPr="00113A95">
              <w:rPr>
                <w:sz w:val="20"/>
                <w:szCs w:val="20"/>
              </w:rPr>
              <w:t xml:space="preserve">, </w:t>
            </w:r>
            <w:proofErr w:type="spellStart"/>
            <w:r w:rsidRPr="00113A95">
              <w:rPr>
                <w:sz w:val="20"/>
                <w:szCs w:val="20"/>
              </w:rPr>
              <w:t>Waluyo</w:t>
            </w:r>
            <w:proofErr w:type="spellEnd"/>
            <w:r w:rsidRPr="00113A95">
              <w:rPr>
                <w:sz w:val="20"/>
                <w:szCs w:val="20"/>
              </w:rPr>
              <w:t xml:space="preserve">, U, &amp; </w:t>
            </w:r>
            <w:proofErr w:type="spellStart"/>
            <w:r w:rsidRPr="00113A95">
              <w:rPr>
                <w:sz w:val="20"/>
                <w:szCs w:val="20"/>
              </w:rPr>
              <w:t>Soepriyanti</w:t>
            </w:r>
            <w:proofErr w:type="spellEnd"/>
            <w:r w:rsidRPr="00113A95">
              <w:rPr>
                <w:sz w:val="20"/>
                <w:szCs w:val="20"/>
              </w:rPr>
              <w:t xml:space="preserve">, H. (2019) Workshop </w:t>
            </w:r>
            <w:proofErr w:type="spellStart"/>
            <w:r w:rsidRPr="00113A95">
              <w:rPr>
                <w:sz w:val="20"/>
                <w:szCs w:val="20"/>
              </w:rPr>
              <w:t>Pengembangan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r w:rsidRPr="00113A95">
              <w:rPr>
                <w:i/>
                <w:sz w:val="20"/>
                <w:szCs w:val="20"/>
              </w:rPr>
              <w:t>Blended Learning</w:t>
            </w:r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Berbasis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r w:rsidRPr="00113A95">
              <w:rPr>
                <w:b/>
                <w:i/>
                <w:sz w:val="20"/>
                <w:szCs w:val="20"/>
              </w:rPr>
              <w:t>Google Classroom</w:t>
            </w:r>
            <w:r w:rsidRPr="00113A95">
              <w:rPr>
                <w:sz w:val="20"/>
                <w:szCs w:val="20"/>
              </w:rPr>
              <w:t xml:space="preserve"> (GC) </w:t>
            </w:r>
            <w:proofErr w:type="spellStart"/>
            <w:r w:rsidRPr="00113A95">
              <w:rPr>
                <w:sz w:val="20"/>
                <w:szCs w:val="20"/>
              </w:rPr>
              <w:t>sebagai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Solusi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Pembelajaran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dan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Penelitian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Tindakan</w:t>
            </w:r>
            <w:proofErr w:type="spellEnd"/>
            <w:r w:rsidRPr="00113A95">
              <w:rPr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sz w:val="20"/>
                <w:szCs w:val="20"/>
              </w:rPr>
              <w:t>Kelas</w:t>
            </w:r>
            <w:proofErr w:type="spellEnd"/>
            <w:r w:rsidRPr="00113A95">
              <w:rPr>
                <w:sz w:val="20"/>
                <w:szCs w:val="20"/>
              </w:rPr>
              <w:t xml:space="preserve"> (PTK), </w:t>
            </w:r>
            <w:proofErr w:type="spellStart"/>
            <w:r w:rsidRPr="00113A95">
              <w:rPr>
                <w:i/>
                <w:sz w:val="20"/>
                <w:szCs w:val="20"/>
              </w:rPr>
              <w:t>Jurnal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Pendidikan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dan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Pengabdian</w:t>
            </w:r>
            <w:proofErr w:type="spellEnd"/>
            <w:r w:rsidRPr="00113A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13A95">
              <w:rPr>
                <w:i/>
                <w:sz w:val="20"/>
                <w:szCs w:val="20"/>
              </w:rPr>
              <w:t>Masyarakat</w:t>
            </w:r>
            <w:proofErr w:type="spellEnd"/>
            <w:r w:rsidRPr="00113A95">
              <w:rPr>
                <w:i/>
                <w:sz w:val="20"/>
                <w:szCs w:val="20"/>
              </w:rPr>
              <w:t>, Vol.2 No. 1</w:t>
            </w:r>
            <w:r w:rsidRPr="00113A95">
              <w:rPr>
                <w:sz w:val="20"/>
                <w:szCs w:val="20"/>
              </w:rPr>
              <w:t xml:space="preserve"> February</w:t>
            </w:r>
          </w:p>
          <w:p w:rsidR="00113A95" w:rsidRPr="00113A95" w:rsidRDefault="00113A95" w:rsidP="00113A95">
            <w:pPr>
              <w:pStyle w:val="NormalWeb"/>
              <w:spacing w:before="0" w:beforeAutospacing="0" w:after="0" w:afterAutospacing="0" w:line="0" w:lineRule="atLeast"/>
              <w:ind w:left="774" w:hanging="774"/>
              <w:jc w:val="both"/>
              <w:rPr>
                <w:sz w:val="20"/>
                <w:szCs w:val="20"/>
              </w:rPr>
            </w:pPr>
            <w:r w:rsidRPr="00113A95">
              <w:rPr>
                <w:sz w:val="20"/>
                <w:szCs w:val="20"/>
              </w:rPr>
              <w:t xml:space="preserve">Whittaker, C. (2013) </w:t>
            </w:r>
            <w:r w:rsidRPr="00113A95">
              <w:rPr>
                <w:i/>
                <w:sz w:val="20"/>
                <w:szCs w:val="20"/>
              </w:rPr>
              <w:t>Introduction</w:t>
            </w:r>
            <w:r w:rsidRPr="00113A95">
              <w:rPr>
                <w:sz w:val="20"/>
                <w:szCs w:val="20"/>
              </w:rPr>
              <w:t xml:space="preserve">. In B. Tomlinson &amp; C. Whitaker (Eds.). </w:t>
            </w:r>
            <w:r w:rsidRPr="00113A95">
              <w:rPr>
                <w:i/>
                <w:sz w:val="20"/>
                <w:szCs w:val="20"/>
              </w:rPr>
              <w:t>Blended Learning in ELT: Course Design and Implementation</w:t>
            </w:r>
            <w:r w:rsidRPr="00113A95">
              <w:rPr>
                <w:sz w:val="20"/>
                <w:szCs w:val="20"/>
              </w:rPr>
              <w:t xml:space="preserve">. London: British Council. </w:t>
            </w:r>
          </w:p>
        </w:tc>
      </w:tr>
      <w:tr w:rsidR="00113A95" w:rsidRPr="00113A95" w:rsidTr="00113A95">
        <w:tc>
          <w:tcPr>
            <w:tcW w:w="534" w:type="dxa"/>
          </w:tcPr>
          <w:p w:rsidR="00930588" w:rsidRPr="00113A95" w:rsidRDefault="00930588" w:rsidP="00930588">
            <w:pPr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2409" w:type="dxa"/>
          </w:tcPr>
          <w:p w:rsidR="00930588" w:rsidRPr="00113A95" w:rsidRDefault="00330959" w:rsidP="00930588">
            <w:pPr>
              <w:rPr>
                <w:rFonts w:ascii="Times New Roman" w:hAnsi="Times New Roman" w:cs="Times New Roman"/>
                <w:lang w:val="en-ID"/>
              </w:rPr>
            </w:pP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Ucapan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terima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kasih</w:t>
            </w:r>
            <w:proofErr w:type="spellEnd"/>
          </w:p>
        </w:tc>
        <w:tc>
          <w:tcPr>
            <w:tcW w:w="6633" w:type="dxa"/>
          </w:tcPr>
          <w:p w:rsidR="00930588" w:rsidRPr="00113A95" w:rsidRDefault="00330959" w:rsidP="00113A95">
            <w:pPr>
              <w:jc w:val="both"/>
              <w:rPr>
                <w:rFonts w:ascii="Times New Roman" w:hAnsi="Times New Roman" w:cs="Times New Roman"/>
                <w:lang w:val="en-ID"/>
              </w:rPr>
            </w:pPr>
            <w:r w:rsidRPr="00113A95">
              <w:rPr>
                <w:rFonts w:ascii="Times New Roman" w:hAnsi="Times New Roman" w:cs="Times New Roman"/>
                <w:lang w:val="en-ID"/>
              </w:rPr>
              <w:t xml:space="preserve">Tim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Pengabdian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PS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Pendidikan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Bahasa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Inggris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UNRAM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menyampaikan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ucapan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terima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kasih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kepada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Universitas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Mataram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yang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telah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113A95" w:rsidRPr="00113A95">
              <w:rPr>
                <w:rFonts w:ascii="Times New Roman" w:hAnsi="Times New Roman" w:cs="Times New Roman"/>
                <w:lang w:val="en-ID"/>
              </w:rPr>
              <w:t>mendanai</w:t>
            </w:r>
            <w:proofErr w:type="spellEnd"/>
            <w:r w:rsidR="00113A95"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113A95" w:rsidRPr="00113A95">
              <w:rPr>
                <w:rFonts w:ascii="Times New Roman" w:hAnsi="Times New Roman" w:cs="Times New Roman"/>
                <w:lang w:val="en-ID"/>
              </w:rPr>
              <w:t>kegiatan</w:t>
            </w:r>
            <w:proofErr w:type="spellEnd"/>
            <w:r w:rsidR="00113A95"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113A95" w:rsidRPr="00113A95">
              <w:rPr>
                <w:rFonts w:ascii="Times New Roman" w:hAnsi="Times New Roman" w:cs="Times New Roman"/>
                <w:lang w:val="en-ID"/>
              </w:rPr>
              <w:t>ini</w:t>
            </w:r>
            <w:proofErr w:type="spellEnd"/>
            <w:r w:rsidR="00113A95"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melalui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113A95" w:rsidRPr="00113A95">
              <w:rPr>
                <w:rFonts w:ascii="Times New Roman" w:hAnsi="Times New Roman" w:cs="Times New Roman"/>
                <w:lang w:val="en-ID"/>
              </w:rPr>
              <w:t>D</w:t>
            </w:r>
            <w:r w:rsidRPr="00113A95">
              <w:rPr>
                <w:rFonts w:ascii="Times New Roman" w:hAnsi="Times New Roman" w:cs="Times New Roman"/>
                <w:lang w:val="en-ID"/>
              </w:rPr>
              <w:t xml:space="preserve">ana </w:t>
            </w:r>
            <w:r w:rsidR="00113A95" w:rsidRPr="00113A95">
              <w:rPr>
                <w:rFonts w:ascii="Times New Roman" w:hAnsi="Times New Roman" w:cs="Times New Roman"/>
                <w:lang w:val="en-ID"/>
              </w:rPr>
              <w:t>DIPA BLU (</w:t>
            </w:r>
            <w:r w:rsidRPr="00113A95">
              <w:rPr>
                <w:rFonts w:ascii="Times New Roman" w:hAnsi="Times New Roman" w:cs="Times New Roman"/>
                <w:lang w:val="en-ID"/>
              </w:rPr>
              <w:t>PNBP</w:t>
            </w:r>
            <w:r w:rsidR="00113A95" w:rsidRPr="00113A95">
              <w:rPr>
                <w:rFonts w:ascii="Times New Roman" w:hAnsi="Times New Roman" w:cs="Times New Roman"/>
                <w:lang w:val="en-ID"/>
              </w:rPr>
              <w:t>)</w:t>
            </w:r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tahun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113A95">
              <w:rPr>
                <w:rFonts w:ascii="Times New Roman" w:hAnsi="Times New Roman" w:cs="Times New Roman"/>
                <w:lang w:val="en-ID"/>
              </w:rPr>
              <w:t>anggaran</w:t>
            </w:r>
            <w:proofErr w:type="spellEnd"/>
            <w:r w:rsidRPr="00113A95">
              <w:rPr>
                <w:rFonts w:ascii="Times New Roman" w:hAnsi="Times New Roman" w:cs="Times New Roman"/>
                <w:lang w:val="en-ID"/>
              </w:rPr>
              <w:t xml:space="preserve"> 2019 </w:t>
            </w:r>
          </w:p>
        </w:tc>
      </w:tr>
    </w:tbl>
    <w:p w:rsidR="00930588" w:rsidRPr="00113A95" w:rsidRDefault="00930588">
      <w:pPr>
        <w:rPr>
          <w:rFonts w:ascii="Times New Roman" w:hAnsi="Times New Roman" w:cs="Times New Roman"/>
          <w:lang w:val="en-ID"/>
        </w:rPr>
      </w:pPr>
    </w:p>
    <w:sectPr w:rsidR="00930588" w:rsidRPr="00113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D64"/>
    <w:multiLevelType w:val="hybridMultilevel"/>
    <w:tmpl w:val="DED0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05A"/>
    <w:multiLevelType w:val="hybridMultilevel"/>
    <w:tmpl w:val="67769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7DC"/>
    <w:rsid w:val="00113A95"/>
    <w:rsid w:val="00226DF3"/>
    <w:rsid w:val="00330959"/>
    <w:rsid w:val="00554782"/>
    <w:rsid w:val="005A77BC"/>
    <w:rsid w:val="00930588"/>
    <w:rsid w:val="00CE431E"/>
    <w:rsid w:val="00D55813"/>
    <w:rsid w:val="00D7403C"/>
    <w:rsid w:val="00F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73DD"/>
  <w15:chartTrackingRefBased/>
  <w15:docId w15:val="{D892D0D8-4204-4C1B-8F7C-ACEE47FA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05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E431E"/>
  </w:style>
  <w:style w:type="character" w:styleId="Hyperlink">
    <w:name w:val="Hyperlink"/>
    <w:basedOn w:val="DefaultParagraphFont"/>
    <w:uiPriority w:val="99"/>
    <w:unhideWhenUsed/>
    <w:rsid w:val="00113A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FAQ/what-are-21st-century-skil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2paertn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2019-11-11T11:32:00Z</dcterms:created>
  <dcterms:modified xsi:type="dcterms:W3CDTF">2019-11-13T16:00:00Z</dcterms:modified>
</cp:coreProperties>
</file>