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41" w:rsidRDefault="00153341" w:rsidP="0015334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PELATIHAN PENGELOLAAN KEUANGAN </w:t>
      </w:r>
    </w:p>
    <w:p w:rsidR="00153341" w:rsidRDefault="00153341" w:rsidP="0015334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 DI TK AISYIYAH BUSTANUL </w:t>
      </w:r>
      <w:proofErr w:type="gramStart"/>
      <w:r>
        <w:rPr>
          <w:rFonts w:ascii="Calibri" w:hAnsi="Calibri" w:cs="Calibri"/>
          <w:b/>
          <w:sz w:val="30"/>
          <w:szCs w:val="30"/>
        </w:rPr>
        <w:t>ATHFAL  5</w:t>
      </w:r>
      <w:proofErr w:type="gramEnd"/>
      <w:r>
        <w:rPr>
          <w:rFonts w:ascii="Calibri" w:hAnsi="Calibri" w:cs="Calibri"/>
          <w:b/>
          <w:sz w:val="30"/>
          <w:szCs w:val="30"/>
        </w:rPr>
        <w:t xml:space="preserve">  MATARAM</w:t>
      </w:r>
    </w:p>
    <w:p w:rsidR="00153341" w:rsidRDefault="00153341" w:rsidP="00153341">
      <w:pPr>
        <w:spacing w:line="360" w:lineRule="auto"/>
        <w:jc w:val="center"/>
        <w:rPr>
          <w:rFonts w:ascii="Calibri" w:hAnsi="Calibri" w:cs="Calibri"/>
          <w:sz w:val="24"/>
          <w:szCs w:val="24"/>
          <w:lang w:val="it-IT"/>
        </w:rPr>
      </w:pPr>
    </w:p>
    <w:p w:rsidR="00153341" w:rsidRDefault="00153341" w:rsidP="00153341">
      <w:pPr>
        <w:spacing w:line="360" w:lineRule="auto"/>
        <w:ind w:firstLine="1418"/>
        <w:jc w:val="both"/>
        <w:rPr>
          <w:rFonts w:ascii="Calibri" w:hAnsi="Calibri" w:cs="Calibri"/>
          <w:b/>
          <w:sz w:val="24"/>
          <w:szCs w:val="24"/>
          <w:vertAlign w:val="superscript"/>
        </w:rPr>
      </w:pPr>
      <w:r>
        <w:rPr>
          <w:rFonts w:ascii="Calibri" w:hAnsi="Calibri" w:cs="Calibri"/>
          <w:b/>
          <w:sz w:val="24"/>
          <w:szCs w:val="24"/>
        </w:rPr>
        <w:t>Elin ErlinaSasanti</w:t>
      </w:r>
      <w:r>
        <w:rPr>
          <w:rFonts w:ascii="Calibri" w:hAnsi="Calibri" w:cs="Calibri"/>
          <w:b/>
          <w:sz w:val="24"/>
          <w:szCs w:val="24"/>
          <w:vertAlign w:val="superscript"/>
        </w:rPr>
        <w:t>1</w:t>
      </w:r>
      <w:r>
        <w:rPr>
          <w:rFonts w:ascii="Calibri" w:hAnsi="Calibri" w:cs="Calibri"/>
          <w:b/>
          <w:sz w:val="24"/>
          <w:szCs w:val="24"/>
        </w:rPr>
        <w:t>, Animah</w:t>
      </w:r>
      <w:r>
        <w:rPr>
          <w:rFonts w:ascii="Calibri" w:hAnsi="Calibri" w:cs="Calibri"/>
          <w:b/>
          <w:sz w:val="24"/>
          <w:szCs w:val="24"/>
          <w:vertAlign w:val="superscript"/>
        </w:rPr>
        <w:t>2</w:t>
      </w:r>
      <w:r>
        <w:rPr>
          <w:rFonts w:ascii="Calibri" w:hAnsi="Calibri" w:cs="Calibri"/>
          <w:b/>
          <w:sz w:val="24"/>
          <w:szCs w:val="24"/>
        </w:rPr>
        <w:t xml:space="preserve">, Aditya </w:t>
      </w:r>
      <w:proofErr w:type="spellStart"/>
      <w:r>
        <w:rPr>
          <w:rFonts w:ascii="Calibri" w:hAnsi="Calibri" w:cs="Calibri"/>
          <w:b/>
          <w:sz w:val="24"/>
          <w:szCs w:val="24"/>
        </w:rPr>
        <w:t>Bayu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Suryantara</w:t>
      </w:r>
      <w:r>
        <w:rPr>
          <w:rFonts w:ascii="Calibri" w:hAnsi="Calibri" w:cs="Calibri"/>
          <w:b/>
          <w:sz w:val="24"/>
          <w:szCs w:val="24"/>
          <w:vertAlign w:val="superscript"/>
        </w:rPr>
        <w:t>3</w:t>
      </w:r>
    </w:p>
    <w:p w:rsidR="00153341" w:rsidRDefault="00153341" w:rsidP="0015334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Akuntansi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Fakultas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Ekonomi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dan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Bisnis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Universitas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Mataram</w:t>
      </w:r>
      <w:proofErr w:type="spellEnd"/>
    </w:p>
    <w:p w:rsidR="00153341" w:rsidRDefault="00153341" w:rsidP="0015334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hyperlink r:id="rId4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elinerlina@unram.ac.id</w:t>
        </w:r>
      </w:hyperlink>
    </w:p>
    <w:p w:rsidR="00153341" w:rsidRDefault="00153341" w:rsidP="0015334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Abstrak</w:t>
      </w:r>
      <w:proofErr w:type="spellEnd"/>
    </w:p>
    <w:p w:rsidR="00153341" w:rsidRDefault="00153341" w:rsidP="00153341">
      <w:pPr>
        <w:spacing w:after="0" w:line="240" w:lineRule="auto"/>
        <w:ind w:firstLine="720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Berdasarkan</w:t>
      </w:r>
      <w:proofErr w:type="spellEnd"/>
      <w:r>
        <w:rPr>
          <w:rFonts w:ascii="Calibri" w:hAnsi="Calibri" w:cs="Calibri"/>
          <w:sz w:val="24"/>
          <w:szCs w:val="24"/>
        </w:rPr>
        <w:t xml:space="preserve"> data yang </w:t>
      </w:r>
      <w:proofErr w:type="spellStart"/>
      <w:r>
        <w:rPr>
          <w:rFonts w:ascii="Calibri" w:hAnsi="Calibri" w:cs="Calibri"/>
          <w:sz w:val="24"/>
          <w:szCs w:val="24"/>
        </w:rPr>
        <w:t>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pengelolaan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keuangan</w:t>
      </w:r>
      <w:proofErr w:type="spellEnd"/>
      <w:r>
        <w:rPr>
          <w:rFonts w:ascii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hAnsi="Calibri" w:cs="Calibri"/>
          <w:sz w:val="24"/>
          <w:szCs w:val="24"/>
        </w:rPr>
        <w:t>baik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memadai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sesuai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dengan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standar</w:t>
      </w:r>
      <w:proofErr w:type="spellEnd"/>
      <w:r>
        <w:rPr>
          <w:rFonts w:ascii="Calibri" w:hAnsi="Calibri" w:cs="Calibri"/>
          <w:sz w:val="24"/>
          <w:szCs w:val="24"/>
        </w:rPr>
        <w:t xml:space="preserve"> yang </w:t>
      </w:r>
      <w:proofErr w:type="spellStart"/>
      <w:r>
        <w:rPr>
          <w:rFonts w:ascii="Calibri" w:hAnsi="Calibri" w:cs="Calibri"/>
          <w:sz w:val="24"/>
          <w:szCs w:val="24"/>
        </w:rPr>
        <w:t>berlaku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belum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diterapkan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banyak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Yayasan</w:t>
      </w:r>
      <w:proofErr w:type="spellEnd"/>
      <w:r>
        <w:rPr>
          <w:rFonts w:ascii="Calibri" w:hAnsi="Calibri" w:cs="Calibri"/>
          <w:sz w:val="24"/>
          <w:szCs w:val="24"/>
        </w:rPr>
        <w:t xml:space="preserve"> PAUD </w:t>
      </w:r>
      <w:proofErr w:type="spellStart"/>
      <w:r>
        <w:rPr>
          <w:rFonts w:ascii="Calibri" w:hAnsi="Calibri" w:cs="Calibri"/>
          <w:sz w:val="24"/>
          <w:szCs w:val="24"/>
        </w:rPr>
        <w:t>dan</w:t>
      </w:r>
      <w:proofErr w:type="spellEnd"/>
      <w:r>
        <w:rPr>
          <w:rFonts w:ascii="Calibri" w:hAnsi="Calibri" w:cs="Calibri"/>
          <w:sz w:val="24"/>
          <w:szCs w:val="24"/>
        </w:rPr>
        <w:t xml:space="preserve"> Taman Kanak-Kanak. </w:t>
      </w:r>
      <w:proofErr w:type="spellStart"/>
      <w:r>
        <w:rPr>
          <w:rFonts w:ascii="Calibri" w:hAnsi="Calibri" w:cs="Calibri"/>
          <w:sz w:val="24"/>
          <w:szCs w:val="24"/>
        </w:rPr>
        <w:t>Sehingga</w:t>
      </w:r>
      <w:proofErr w:type="spellEnd"/>
      <w:r>
        <w:rPr>
          <w:rFonts w:ascii="Calibri" w:hAnsi="Calibri" w:cs="Calibri"/>
          <w:sz w:val="24"/>
          <w:szCs w:val="24"/>
        </w:rPr>
        <w:t xml:space="preserve"> proses </w:t>
      </w:r>
      <w:proofErr w:type="spellStart"/>
      <w:r>
        <w:rPr>
          <w:rFonts w:ascii="Calibri" w:hAnsi="Calibri" w:cs="Calibri"/>
          <w:sz w:val="24"/>
          <w:szCs w:val="24"/>
        </w:rPr>
        <w:t>pengelolaan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keuangan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</w:rPr>
        <w:t>belum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terlaksana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dengan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baik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berakibat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kepada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kurangnya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pertanggungjawaban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aktivitas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sekolah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setiap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periodenya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Tujuan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pengabdian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ini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adalah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memberikan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penyuluhan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pelatihan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pengelolaan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keuangan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pada</w:t>
      </w:r>
      <w:proofErr w:type="spellEnd"/>
      <w:r>
        <w:rPr>
          <w:rFonts w:ascii="Calibri" w:hAnsi="Calibri" w:cs="Calibri"/>
          <w:sz w:val="24"/>
          <w:szCs w:val="24"/>
        </w:rPr>
        <w:t xml:space="preserve"> TK </w:t>
      </w:r>
      <w:proofErr w:type="spellStart"/>
      <w:r>
        <w:rPr>
          <w:rFonts w:ascii="Calibri" w:hAnsi="Calibri" w:cs="Calibri"/>
          <w:sz w:val="24"/>
          <w:szCs w:val="24"/>
        </w:rPr>
        <w:t>Aisyiyah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Bustanul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Athfal</w:t>
      </w:r>
      <w:proofErr w:type="spellEnd"/>
      <w:r>
        <w:rPr>
          <w:rFonts w:ascii="Calibri" w:hAnsi="Calibri" w:cs="Calibri"/>
          <w:sz w:val="24"/>
          <w:szCs w:val="24"/>
        </w:rPr>
        <w:t xml:space="preserve"> 5 </w:t>
      </w:r>
      <w:proofErr w:type="spellStart"/>
      <w:r>
        <w:rPr>
          <w:rFonts w:ascii="Calibri" w:hAnsi="Calibri" w:cs="Calibri"/>
          <w:sz w:val="24"/>
          <w:szCs w:val="24"/>
        </w:rPr>
        <w:t>Mataram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diharapkan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pengabdian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pemahaman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system </w:t>
      </w:r>
      <w:proofErr w:type="spellStart"/>
      <w:r>
        <w:rPr>
          <w:sz w:val="24"/>
          <w:szCs w:val="24"/>
        </w:rPr>
        <w:t>akuntansi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pokok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menyusun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excel. </w:t>
      </w:r>
    </w:p>
    <w:p w:rsidR="00153341" w:rsidRDefault="00153341" w:rsidP="0015334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fi-FI"/>
        </w:rPr>
      </w:pPr>
    </w:p>
    <w:p w:rsidR="00153341" w:rsidRDefault="00153341" w:rsidP="0015334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  <w:lang w:val="fi-FI"/>
        </w:rPr>
      </w:pPr>
      <w:r>
        <w:rPr>
          <w:rFonts w:ascii="Calibri" w:hAnsi="Calibri" w:cs="Calibri"/>
          <w:b/>
          <w:sz w:val="24"/>
          <w:szCs w:val="24"/>
          <w:lang w:val="fi-FI"/>
        </w:rPr>
        <w:t xml:space="preserve">Kata Kunci: Pengelolaan, Keuangan, Laporan </w:t>
      </w:r>
    </w:p>
    <w:p w:rsidR="00153341" w:rsidRDefault="00153341" w:rsidP="0015334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  <w:lang w:val="fi-FI"/>
        </w:rPr>
      </w:pPr>
    </w:p>
    <w:p w:rsidR="00E65E4D" w:rsidRDefault="00153341">
      <w:bookmarkStart w:id="0" w:name="_GoBack"/>
      <w:bookmarkEnd w:id="0"/>
    </w:p>
    <w:sectPr w:rsidR="00E65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41"/>
    <w:rsid w:val="00153341"/>
    <w:rsid w:val="00166DA2"/>
    <w:rsid w:val="004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38A5F-EDC9-4178-B5E8-6C922945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3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nerlina@unra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Euromoney Investor Plc.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Sasanti, Elin (UK)</dc:creator>
  <cp:keywords/>
  <dc:description/>
  <cp:lastModifiedBy>Sasanti, Elin (UK)</cp:lastModifiedBy>
  <cp:revision>1</cp:revision>
  <dcterms:created xsi:type="dcterms:W3CDTF">2020-12-16T01:03:00Z</dcterms:created>
  <dcterms:modified xsi:type="dcterms:W3CDTF">2020-12-16T01:04:00Z</dcterms:modified>
</cp:coreProperties>
</file>