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94" w:rsidRDefault="00330394" w:rsidP="003303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ABSTRAK</w:t>
      </w:r>
    </w:p>
    <w:p w:rsidR="00330394" w:rsidRDefault="00330394" w:rsidP="00330394">
      <w:pPr>
        <w:pStyle w:val="ListParagraph"/>
        <w:tabs>
          <w:tab w:val="left" w:pos="425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0394" w:rsidRDefault="00330394" w:rsidP="00330394">
      <w:pPr>
        <w:pStyle w:val="ListParagraph"/>
        <w:tabs>
          <w:tab w:val="left" w:pos="425"/>
          <w:tab w:val="left" w:pos="1440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FAKTOR – FAKTOR YSNG MEMPENGARUHI KUALITAS HIDUP PASIEN TINNITUS PADA PASIEN TINNITUS DI RSU PROVINSI NTB</w:t>
      </w:r>
    </w:p>
    <w:p w:rsidR="00330394" w:rsidRDefault="00330394" w:rsidP="00330394">
      <w:pPr>
        <w:pStyle w:val="ListParagraph"/>
        <w:tabs>
          <w:tab w:val="left" w:pos="425"/>
          <w:tab w:val="left" w:pos="1440"/>
          <w:tab w:val="left" w:pos="1530"/>
        </w:tabs>
        <w:spacing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Dara Primaditha, Hamsu Kadriyan, Ida Ayu Eka Widiastuti</w:t>
      </w:r>
    </w:p>
    <w:p w:rsidR="00330394" w:rsidRDefault="00330394" w:rsidP="00330394">
      <w:pPr>
        <w:pStyle w:val="ListParagraph"/>
        <w:tabs>
          <w:tab w:val="left" w:pos="425"/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394" w:rsidRDefault="00330394" w:rsidP="00330394">
      <w:pPr>
        <w:pStyle w:val="ListParagraph"/>
        <w:tabs>
          <w:tab w:val="left" w:pos="425"/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Pendahuluan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Berdasarkan penelitian sebelumnya di Asia, angka kejadian tinnitus sekitar 10,9%. </w:t>
      </w:r>
      <w:proofErr w:type="gramStart"/>
      <w:r>
        <w:rPr>
          <w:rFonts w:ascii="Times New Roman" w:hAnsi="Times New Roman" w:cs="Times New Roman"/>
          <w:sz w:val="24"/>
          <w:szCs w:val="24"/>
        </w:rPr>
        <w:t>Tinnitus menunjukkan kaitan yang erat dengan gangguan psikologis dan sosial serta menyebabkan penurunan kualitas hidup.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Sebagian besar pasien mengeluh mengalami gangguan tidur, cemas, bahkan depresi.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beberapa faktor yang mempengaruhi tinnitus seperti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jenis kelamin dan lokasi tinnitus. </w:t>
      </w:r>
      <w:proofErr w:type="gramStart"/>
      <w:r>
        <w:rPr>
          <w:rFonts w:ascii="Times New Roman" w:hAnsi="Times New Roman" w:cs="Times New Roman"/>
          <w:sz w:val="24"/>
          <w:szCs w:val="24"/>
        </w:rPr>
        <w:t>Faktor – faktor tersebut berkaitan dengan upaya pencegahan terhadap penurunan kualitas hidup.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Kualitas hidup dalam penelitian ini diukur dengan instrumen </w:t>
      </w:r>
      <w:r>
        <w:rPr>
          <w:rFonts w:ascii="Times New Roman" w:hAnsi="Times New Roman" w:cs="Times New Roman"/>
          <w:i/>
          <w:sz w:val="24"/>
          <w:szCs w:val="24"/>
        </w:rPr>
        <w:t>Tinnitus Handicap Inventory</w:t>
      </w:r>
      <w:r>
        <w:rPr>
          <w:rFonts w:ascii="Times New Roman" w:hAnsi="Times New Roman" w:cs="Times New Roman"/>
          <w:sz w:val="24"/>
          <w:szCs w:val="24"/>
        </w:rPr>
        <w:t xml:space="preserve"> (THI).</w:t>
      </w:r>
      <w:proofErr w:type="gramEnd"/>
    </w:p>
    <w:p w:rsidR="00330394" w:rsidRDefault="00330394" w:rsidP="00330394">
      <w:pPr>
        <w:pStyle w:val="ListParagraph"/>
        <w:tabs>
          <w:tab w:val="left" w:pos="425"/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394" w:rsidRDefault="00330394" w:rsidP="00330394">
      <w:pPr>
        <w:pStyle w:val="ListParagraph"/>
        <w:tabs>
          <w:tab w:val="left" w:pos="425"/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Metodologi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 ini merupakan penelitian deskriptif analitik dengan desain penelitian </w:t>
      </w:r>
      <w:r>
        <w:rPr>
          <w:rFonts w:ascii="Times New Roman" w:hAnsi="Times New Roman" w:cs="Times New Roman"/>
          <w:i/>
          <w:sz w:val="24"/>
          <w:szCs w:val="24"/>
        </w:rPr>
        <w:t>cross-sectional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Sampel penelitian adalah 37 pasien tinnitus yang berkunjung ke poli THT RSU Provinsi NTB yang telah memenuhi kriteria inklusi.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Responden kemudian mengisi kuisioner THI.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yang diperoleh kemudian diuji validitas dan reliabilitas kemudian dilanjutkan dengan uji </w:t>
      </w:r>
      <w:r>
        <w:rPr>
          <w:rFonts w:ascii="Times New Roman" w:hAnsi="Times New Roman" w:cs="Times New Roman"/>
          <w:i/>
          <w:sz w:val="24"/>
          <w:szCs w:val="24"/>
        </w:rPr>
        <w:t>Mann-Withney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Kruskall-Wallis</w:t>
      </w:r>
      <w:r>
        <w:rPr>
          <w:rFonts w:ascii="Times New Roman" w:hAnsi="Times New Roman" w:cs="Times New Roman"/>
          <w:sz w:val="24"/>
          <w:szCs w:val="24"/>
        </w:rPr>
        <w:t xml:space="preserve"> untuk mengetahui pengaruh faktor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>, jenis kelamin, dan lokasi tinnitus terhadap kualitas hidup.</w:t>
      </w:r>
    </w:p>
    <w:p w:rsidR="00330394" w:rsidRDefault="00330394" w:rsidP="00330394">
      <w:pPr>
        <w:pStyle w:val="ListParagraph"/>
        <w:tabs>
          <w:tab w:val="left" w:pos="425"/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394" w:rsidRDefault="00330394" w:rsidP="00330394">
      <w:pPr>
        <w:pStyle w:val="ListParagraph"/>
        <w:tabs>
          <w:tab w:val="left" w:pos="425"/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hasil analisis data mengenai pengaruh usia terhadap kualitas hidup didapatkan nilai p=0,957 (p&gt;0,05) ini berarti tidak terdapat adanya perbedaan kualitas hidup pasien tinnitus pada keempat kelompok usia. Hasil uji terhadap variabel jenis kelamin memberikan hasil p=0,430 (p&gt;0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>), ini juga berarti tidak terdapat adanya perbedaan kualitas hidup antara laki – laki dan perempuan. Uji terhadap variabel lokasi tinnitus memberikan nilai p=0,631 (p&gt;0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ini berarti tidak terdapat perbedaan kualitas hidup antara pasien dengan tinnitus bilateral maupun unilateral.</w:t>
      </w:r>
      <w:proofErr w:type="gramEnd"/>
    </w:p>
    <w:p w:rsidR="00330394" w:rsidRDefault="00330394" w:rsidP="00330394">
      <w:pPr>
        <w:pStyle w:val="ListParagraph"/>
        <w:tabs>
          <w:tab w:val="left" w:pos="425"/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394" w:rsidRDefault="00330394" w:rsidP="00330394">
      <w:pPr>
        <w:pStyle w:val="ListParagraph"/>
        <w:tabs>
          <w:tab w:val="left" w:pos="425"/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Simpulan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didapatkan pengaruh usia, jenis kelamin, dan lokasi tinnitus pada pasien tinnitus di RSU Provinsi NTB.</w:t>
      </w:r>
    </w:p>
    <w:p w:rsidR="00330394" w:rsidRDefault="00330394" w:rsidP="00330394">
      <w:pPr>
        <w:pStyle w:val="ListParagraph"/>
        <w:tabs>
          <w:tab w:val="left" w:pos="425"/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394" w:rsidRDefault="00330394" w:rsidP="00330394">
      <w:pPr>
        <w:pStyle w:val="ListParagraph"/>
        <w:tabs>
          <w:tab w:val="left" w:pos="425"/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Kunci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Tinnitus, </w:t>
      </w:r>
      <w:r>
        <w:rPr>
          <w:rFonts w:ascii="Times New Roman" w:hAnsi="Times New Roman" w:cs="Times New Roman"/>
          <w:i/>
          <w:sz w:val="24"/>
          <w:szCs w:val="24"/>
        </w:rPr>
        <w:t>Tinnitus Handicap Inventory</w:t>
      </w:r>
      <w:r>
        <w:rPr>
          <w:rFonts w:ascii="Times New Roman" w:hAnsi="Times New Roman" w:cs="Times New Roman"/>
          <w:sz w:val="24"/>
          <w:szCs w:val="24"/>
        </w:rPr>
        <w:t xml:space="preserve"> (THI), kualitas hidup.</w:t>
      </w:r>
    </w:p>
    <w:p w:rsidR="00297D2F" w:rsidRPr="00275D14" w:rsidRDefault="00297D2F" w:rsidP="00297D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ABSTRACT</w:t>
      </w:r>
    </w:p>
    <w:p w:rsidR="00297D2F" w:rsidRDefault="00297D2F" w:rsidP="00297D2F">
      <w:pPr>
        <w:pStyle w:val="ListParagraph"/>
        <w:tabs>
          <w:tab w:val="left" w:pos="425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7D2F" w:rsidRDefault="00297D2F" w:rsidP="00297D2F">
      <w:pPr>
        <w:pStyle w:val="ListParagraph"/>
        <w:tabs>
          <w:tab w:val="left" w:pos="425"/>
          <w:tab w:val="left" w:pos="1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FACTORS IMPACTED THE QUALITY OF LIFE AMONG TINNITUS PATIENTS AT THE WEST NUSA TENGGARA PROVINCE GENERAL HOSPITAL</w:t>
      </w:r>
    </w:p>
    <w:p w:rsidR="00297D2F" w:rsidRPr="00E71CC6" w:rsidRDefault="00297D2F" w:rsidP="00297D2F">
      <w:pPr>
        <w:pStyle w:val="ListParagraph"/>
        <w:tabs>
          <w:tab w:val="left" w:pos="425"/>
          <w:tab w:val="left" w:pos="1440"/>
          <w:tab w:val="left" w:pos="153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Dara Primaditha, Hamsu Kadriyan, Ida Ayu Eka Widiastuti</w:t>
      </w:r>
    </w:p>
    <w:p w:rsidR="00297D2F" w:rsidRDefault="00297D2F" w:rsidP="00297D2F">
      <w:pPr>
        <w:pStyle w:val="ListParagraph"/>
        <w:tabs>
          <w:tab w:val="left" w:pos="425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D2F" w:rsidRDefault="00297D2F" w:rsidP="00297D2F">
      <w:pPr>
        <w:pStyle w:val="ListParagraph"/>
        <w:tabs>
          <w:tab w:val="left" w:pos="425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Background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Based on the recent study in Asia, prevalence of tinnitus was about 10,9%. Tinnitus show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strong corellation with physicological and social disorder also </w:t>
      </w:r>
      <w:proofErr w:type="gramStart"/>
      <w:r>
        <w:rPr>
          <w:rFonts w:ascii="Times New Roman" w:hAnsi="Times New Roman" w:cs="Times New Roman"/>
          <w:sz w:val="24"/>
          <w:szCs w:val="24"/>
        </w:rPr>
        <w:t>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decreased in quality of life. Almost tinnitus patient have a sleep disturbance, anxiety, even depressed. There are some factors that impact quality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 such as age, gender, and location of tinnitus.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factors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effect on tinitus treatmen and prevented of decreased quality of life.  In this research, quality of life was measured with the Tinnitus Handicap Inventory (THI).</w:t>
      </w:r>
    </w:p>
    <w:p w:rsidR="00297D2F" w:rsidRDefault="00297D2F" w:rsidP="00297D2F">
      <w:pPr>
        <w:pStyle w:val="ListParagraph"/>
        <w:tabs>
          <w:tab w:val="left" w:pos="425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D2F" w:rsidRDefault="00297D2F" w:rsidP="00297D2F">
      <w:pPr>
        <w:pStyle w:val="ListParagraph"/>
        <w:tabs>
          <w:tab w:val="left" w:pos="425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5F64DA">
        <w:rPr>
          <w:rFonts w:ascii="Times New Roman" w:hAnsi="Times New Roman" w:cs="Times New Roman"/>
          <w:b/>
          <w:sz w:val="24"/>
          <w:szCs w:val="24"/>
        </w:rPr>
        <w:t>Met</w:t>
      </w:r>
      <w:r>
        <w:rPr>
          <w:rFonts w:ascii="Times New Roman" w:hAnsi="Times New Roman" w:cs="Times New Roman"/>
          <w:b/>
          <w:sz w:val="24"/>
          <w:szCs w:val="24"/>
        </w:rPr>
        <w:t>hod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study was a descriptive analytical study with </w:t>
      </w:r>
      <w:r w:rsidRPr="00FD6836">
        <w:rPr>
          <w:rFonts w:ascii="Times New Roman" w:hAnsi="Times New Roman" w:cs="Times New Roman"/>
          <w:sz w:val="24"/>
          <w:szCs w:val="24"/>
        </w:rPr>
        <w:t>cross-sectional</w:t>
      </w:r>
      <w:r>
        <w:rPr>
          <w:rFonts w:ascii="Times New Roman" w:hAnsi="Times New Roman" w:cs="Times New Roman"/>
          <w:sz w:val="24"/>
          <w:szCs w:val="24"/>
        </w:rPr>
        <w:t xml:space="preserve"> design. </w:t>
      </w:r>
      <w:r>
        <w:rPr>
          <w:rFonts w:ascii="Times New Roman" w:hAnsi="Times New Roman" w:cs="Times New Roman"/>
          <w:sz w:val="24"/>
          <w:szCs w:val="24"/>
          <w:lang w:val="id-ID"/>
        </w:rPr>
        <w:t>The subject of this research</w:t>
      </w:r>
      <w:r>
        <w:rPr>
          <w:rFonts w:ascii="Times New Roman" w:hAnsi="Times New Roman" w:cs="Times New Roman"/>
          <w:sz w:val="24"/>
          <w:szCs w:val="24"/>
        </w:rPr>
        <w:t xml:space="preserve"> were 37 tinnitus patient at ENT clinic RSUP NTB, who fulfilled the inclusion criteria. </w:t>
      </w:r>
      <w:r>
        <w:rPr>
          <w:rFonts w:ascii="Times New Roman" w:hAnsi="Times New Roman" w:cs="Times New Roman"/>
          <w:sz w:val="24"/>
          <w:szCs w:val="24"/>
          <w:lang w:val="id-ID"/>
        </w:rPr>
        <w:t>The s</w:t>
      </w:r>
      <w:r>
        <w:rPr>
          <w:rFonts w:ascii="Times New Roman" w:hAnsi="Times New Roman" w:cs="Times New Roman"/>
          <w:sz w:val="24"/>
          <w:szCs w:val="24"/>
        </w:rPr>
        <w:t xml:space="preserve">ubjects then fill the THI </w:t>
      </w:r>
      <w:r>
        <w:rPr>
          <w:rFonts w:ascii="Times New Roman" w:hAnsi="Times New Roman" w:cs="Times New Roman"/>
          <w:sz w:val="24"/>
          <w:szCs w:val="24"/>
          <w:lang w:val="id-ID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uestionnaire. Data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tested with validity and reliability test, and continued with </w:t>
      </w:r>
      <w:r>
        <w:rPr>
          <w:rFonts w:ascii="Times New Roman" w:hAnsi="Times New Roman" w:cs="Times New Roman"/>
          <w:i/>
          <w:sz w:val="24"/>
          <w:szCs w:val="24"/>
        </w:rPr>
        <w:t xml:space="preserve">Mann-Withney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Kruskal-Wallis</w:t>
      </w:r>
      <w:r>
        <w:rPr>
          <w:rFonts w:ascii="Times New Roman" w:hAnsi="Times New Roman" w:cs="Times New Roman"/>
          <w:sz w:val="24"/>
          <w:szCs w:val="24"/>
        </w:rPr>
        <w:t xml:space="preserve"> test.</w:t>
      </w:r>
    </w:p>
    <w:p w:rsidR="00297D2F" w:rsidRPr="007F59D2" w:rsidRDefault="00297D2F" w:rsidP="00297D2F">
      <w:pPr>
        <w:pStyle w:val="ListParagraph"/>
        <w:tabs>
          <w:tab w:val="left" w:pos="425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7D2F" w:rsidRDefault="00297D2F" w:rsidP="00297D2F">
      <w:pPr>
        <w:pStyle w:val="ListParagraph"/>
        <w:tabs>
          <w:tab w:val="left" w:pos="425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an analytical process about impact of age on quality of life, we found that p=0,957 (p&gt;0,05), it mean there was no significant difference among age within four group. The test of gender showed p=0,430 (p&gt;0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>), it also mean there was no difference of quality of life between male and female. Other variable test about impact of tinnitus location was showed p=0,631 (p&gt;0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>). It means there was no difference of quality of life between bilateral and unilateral tinnitus patient.</w:t>
      </w:r>
    </w:p>
    <w:p w:rsidR="00297D2F" w:rsidRPr="007F59D2" w:rsidRDefault="00297D2F" w:rsidP="00297D2F">
      <w:pPr>
        <w:pStyle w:val="ListParagraph"/>
        <w:tabs>
          <w:tab w:val="left" w:pos="425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59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97D2F" w:rsidRDefault="00297D2F" w:rsidP="00297D2F">
      <w:pPr>
        <w:pStyle w:val="ListParagraph"/>
        <w:tabs>
          <w:tab w:val="left" w:pos="425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>: There were no impact of age, gender and location of tinnitus within tinnitus patient in RSUP NTB.</w:t>
      </w:r>
    </w:p>
    <w:p w:rsidR="00297D2F" w:rsidRDefault="00297D2F" w:rsidP="00297D2F">
      <w:pPr>
        <w:pStyle w:val="ListParagraph"/>
        <w:tabs>
          <w:tab w:val="left" w:pos="425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D2F" w:rsidRDefault="00297D2F" w:rsidP="00297D2F">
      <w:pPr>
        <w:pStyle w:val="ListParagraph"/>
        <w:tabs>
          <w:tab w:val="left" w:pos="425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Words</w:t>
      </w:r>
      <w:r w:rsidRPr="005F64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Tinnitus, </w:t>
      </w:r>
      <w:r w:rsidRPr="005F64DA">
        <w:rPr>
          <w:rFonts w:ascii="Times New Roman" w:hAnsi="Times New Roman" w:cs="Times New Roman"/>
          <w:i/>
          <w:sz w:val="24"/>
          <w:szCs w:val="24"/>
        </w:rPr>
        <w:t>Tinnitus Handicap Inventory</w:t>
      </w:r>
      <w:r>
        <w:rPr>
          <w:rFonts w:ascii="Times New Roman" w:hAnsi="Times New Roman" w:cs="Times New Roman"/>
          <w:sz w:val="24"/>
          <w:szCs w:val="24"/>
        </w:rPr>
        <w:t xml:space="preserve"> (THI), quality of life.</w:t>
      </w:r>
    </w:p>
    <w:p w:rsidR="0097146C" w:rsidRDefault="009714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7146C" w:rsidRPr="00CF6EE8" w:rsidRDefault="0097146C" w:rsidP="0097146C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F6EE8">
        <w:rPr>
          <w:rFonts w:ascii="Times New Roman" w:hAnsi="Times New Roman"/>
          <w:b/>
          <w:sz w:val="24"/>
          <w:szCs w:val="24"/>
        </w:rPr>
        <w:lastRenderedPageBreak/>
        <w:t>PENDAHULUAN</w:t>
      </w:r>
    </w:p>
    <w:p w:rsidR="00297D2F" w:rsidRPr="00275D14" w:rsidRDefault="00297D2F" w:rsidP="00297D2F">
      <w:pPr>
        <w:pStyle w:val="ListParagraph"/>
        <w:tabs>
          <w:tab w:val="left" w:pos="425"/>
          <w:tab w:val="left" w:pos="1440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</w:rPr>
        <w:tab/>
      </w:r>
      <w:proofErr w:type="gramStart"/>
      <w:r w:rsidRPr="00275D14">
        <w:rPr>
          <w:rFonts w:ascii="Times New Roman" w:hAnsi="Times New Roman" w:cs="Times New Roman"/>
          <w:color w:val="000000"/>
          <w:sz w:val="24"/>
          <w:szCs w:val="24"/>
        </w:rPr>
        <w:t>Tinnitus atau yang biasa dikenal dengan telinga berdenging merupakan penyakit yang banyak diderita oleh masyarakat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5D14">
        <w:rPr>
          <w:rFonts w:ascii="Times New Roman" w:hAnsi="Times New Roman" w:cs="Times New Roman"/>
          <w:color w:val="000000"/>
          <w:sz w:val="24"/>
          <w:szCs w:val="24"/>
        </w:rPr>
        <w:t>dunia.</w:t>
      </w:r>
      <w:proofErr w:type="gramEnd"/>
      <w:r w:rsidRPr="002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5D14">
        <w:rPr>
          <w:rFonts w:ascii="Times New Roman" w:hAnsi="Times New Roman" w:cs="Times New Roman"/>
          <w:color w:val="000000"/>
          <w:sz w:val="24"/>
          <w:szCs w:val="24"/>
        </w:rPr>
        <w:t xml:space="preserve">Kejadian tinnitus </w:t>
      </w:r>
      <w:r>
        <w:rPr>
          <w:rFonts w:ascii="Times New Roman" w:hAnsi="Times New Roman" w:cs="Times New Roman"/>
          <w:color w:val="000000"/>
          <w:sz w:val="24"/>
          <w:szCs w:val="24"/>
        </w:rPr>
        <w:t>lebih sering ditemukan pada popu</w:t>
      </w:r>
      <w:r w:rsidRPr="00275D14">
        <w:rPr>
          <w:rFonts w:ascii="Times New Roman" w:hAnsi="Times New Roman" w:cs="Times New Roman"/>
          <w:color w:val="000000"/>
          <w:sz w:val="24"/>
          <w:szCs w:val="24"/>
        </w:rPr>
        <w:t>lasi Kaukasian dibandingkan dengan populasi Afrika-Amerika.</w:t>
      </w:r>
      <w:proofErr w:type="gramEnd"/>
      <w:r w:rsidRPr="00275D14">
        <w:rPr>
          <w:rFonts w:ascii="Times New Roman" w:hAnsi="Times New Roman" w:cs="Times New Roman"/>
          <w:color w:val="000000"/>
          <w:sz w:val="24"/>
          <w:szCs w:val="24"/>
        </w:rPr>
        <w:t xml:space="preserve"> Prevalensi penyakit ini bervariasi dan meningkat seiring dengan bertambahnya </w:t>
      </w:r>
      <w:proofErr w:type="gramStart"/>
      <w:r w:rsidRPr="00275D14"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gramEnd"/>
      <w:r w:rsidRPr="00275D14">
        <w:rPr>
          <w:rFonts w:ascii="Times New Roman" w:hAnsi="Times New Roman" w:cs="Times New Roman"/>
          <w:color w:val="000000"/>
          <w:sz w:val="24"/>
          <w:szCs w:val="24"/>
        </w:rPr>
        <w:t>, biasanya sekitar 10% - 30%, dimana pria ditemukan lebih sering mengeluhkan tinni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tus dibandingkan wanita (Halke, 2008). Di Asia sendiri, yaitu sebuah </w:t>
      </w:r>
      <w:r w:rsidRPr="00275D14">
        <w:rPr>
          <w:rFonts w:ascii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 New Roman" w:hAnsi="Times New Roman" w:cs="Times New Roman"/>
          <w:color w:val="000000"/>
          <w:sz w:val="24"/>
          <w:szCs w:val="24"/>
        </w:rPr>
        <w:t>i yang dilakukan di Korea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angka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kejadian tinnitus 10,9% (Lim</w:t>
      </w:r>
      <w:r w:rsidRPr="00275D14">
        <w:rPr>
          <w:rFonts w:ascii="Times New Roman" w:hAnsi="Times New Roman" w:cs="Times New Roman"/>
          <w:color w:val="000000"/>
          <w:sz w:val="24"/>
          <w:szCs w:val="24"/>
        </w:rPr>
        <w:t>, 2010)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7D2F" w:rsidRDefault="00297D2F" w:rsidP="00297D2F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5D14">
        <w:rPr>
          <w:rFonts w:ascii="Times New Roman" w:hAnsi="Times New Roman" w:cs="Times New Roman"/>
          <w:color w:val="000000"/>
          <w:sz w:val="24"/>
          <w:szCs w:val="24"/>
        </w:rPr>
        <w:t>Pada penelitian sebelumnya, tinnitus ditemukan memilik</w:t>
      </w:r>
      <w:r>
        <w:rPr>
          <w:rFonts w:ascii="Times New Roman" w:hAnsi="Times New Roman" w:cs="Times New Roman"/>
          <w:color w:val="000000"/>
          <w:sz w:val="24"/>
          <w:szCs w:val="24"/>
        </w:rPr>
        <w:t>i kaitan yang erat dengan emosi (Lim, 2010).</w:t>
      </w:r>
      <w:proofErr w:type="gramEnd"/>
      <w:r w:rsidRPr="00DE7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Ketika tinnitus menjadi parah tinnitus dapat menyebabkan gangguan pada kehidupan sehari – hari seperti terjadi gangguan konsentrasi, gangguan sosialisasi, dan gangguan tidur.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Selain itu, tinnitus juga berpotensi menyebabkan ketidaknyamanan secara emosional seperti cemas dan depresi (Lee, 2004)</w:t>
      </w:r>
      <w:r w:rsidRPr="00275D1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5D14">
        <w:rPr>
          <w:rFonts w:ascii="Times New Roman" w:hAnsi="Times New Roman" w:cs="Times New Roman"/>
          <w:color w:val="000000"/>
          <w:sz w:val="24"/>
          <w:szCs w:val="24"/>
        </w:rPr>
        <w:t>Gangguan tidur dikeluhkan oleh hampir 25-50% pasien tinnitus.</w:t>
      </w:r>
      <w:proofErr w:type="gramEnd"/>
      <w:r w:rsidRPr="002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5D14">
        <w:rPr>
          <w:rFonts w:ascii="Times New Roman" w:hAnsi="Times New Roman" w:cs="Times New Roman"/>
          <w:color w:val="000000"/>
          <w:sz w:val="24"/>
          <w:szCs w:val="24"/>
        </w:rPr>
        <w:t xml:space="preserve">Gangguan pada atensi dan </w:t>
      </w:r>
      <w:r>
        <w:rPr>
          <w:rFonts w:ascii="Times New Roman" w:hAnsi="Times New Roman" w:cs="Times New Roman"/>
          <w:color w:val="000000"/>
          <w:sz w:val="24"/>
          <w:szCs w:val="24"/>
        </w:rPr>
        <w:t>konsentrasi juga dilaporkan mem</w:t>
      </w:r>
      <w:r w:rsidRPr="00275D14">
        <w:rPr>
          <w:rFonts w:ascii="Times New Roman" w:hAnsi="Times New Roman" w:cs="Times New Roman"/>
          <w:color w:val="000000"/>
          <w:sz w:val="24"/>
          <w:szCs w:val="24"/>
        </w:rPr>
        <w:t>iliki hubungan dengan tinnitus.</w:t>
      </w:r>
      <w:proofErr w:type="gramEnd"/>
      <w:r w:rsidRPr="002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5D14">
        <w:rPr>
          <w:rFonts w:ascii="Times New Roman" w:hAnsi="Times New Roman" w:cs="Times New Roman"/>
          <w:color w:val="000000"/>
          <w:sz w:val="24"/>
          <w:szCs w:val="24"/>
        </w:rPr>
        <w:t xml:space="preserve">Sekitar 42% responden dalam sebuah penelitian </w:t>
      </w:r>
      <w:r>
        <w:rPr>
          <w:rFonts w:ascii="Times New Roman" w:hAnsi="Times New Roman" w:cs="Times New Roman"/>
          <w:color w:val="000000"/>
          <w:sz w:val="24"/>
          <w:szCs w:val="24"/>
        </w:rPr>
        <w:t>menunjukkan bahwa ada pengaruh tinnitus terhadap</w:t>
      </w:r>
      <w:r w:rsidRPr="00275D14">
        <w:rPr>
          <w:rFonts w:ascii="Times New Roman" w:hAnsi="Times New Roman" w:cs="Times New Roman"/>
          <w:color w:val="000000"/>
          <w:sz w:val="24"/>
          <w:szCs w:val="24"/>
        </w:rPr>
        <w:t xml:space="preserve"> pekerjaan mereka.</w:t>
      </w:r>
      <w:proofErr w:type="gramEnd"/>
      <w:r w:rsidRPr="00275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5D14">
        <w:rPr>
          <w:rFonts w:ascii="Times New Roman" w:hAnsi="Times New Roman" w:cs="Times New Roman"/>
          <w:color w:val="000000"/>
          <w:sz w:val="24"/>
          <w:szCs w:val="24"/>
        </w:rPr>
        <w:t>Selain itu tinn</w:t>
      </w:r>
      <w:r>
        <w:rPr>
          <w:rFonts w:ascii="Times New Roman" w:hAnsi="Times New Roman" w:cs="Times New Roman"/>
          <w:color w:val="000000"/>
          <w:sz w:val="24"/>
          <w:szCs w:val="24"/>
        </w:rPr>
        <w:t>itus juga memiliki efek negatif terhadap hubungan personal</w:t>
      </w:r>
      <w:r w:rsidRPr="00275D14">
        <w:rPr>
          <w:rFonts w:ascii="Times New Roman" w:hAnsi="Times New Roman" w:cs="Times New Roman"/>
          <w:color w:val="000000"/>
          <w:sz w:val="24"/>
          <w:szCs w:val="24"/>
        </w:rPr>
        <w:t xml:space="preserve"> (Hain, 2002)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97D2F" w:rsidRDefault="00297D2F" w:rsidP="00297D2F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Beberapa faktor yang mempengaruhi kualitas hidup pasien tinnitus antara lain adalah faktor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jenis kelamin, dan lokasi tinnitus. </w:t>
      </w:r>
      <w:r>
        <w:rPr>
          <w:rFonts w:ascii="Times New Roman" w:hAnsi="Times New Roman" w:cs="Times New Roman"/>
          <w:sz w:val="24"/>
          <w:szCs w:val="24"/>
        </w:rPr>
        <w:t xml:space="preserve">Kejadian tinnitus meningkat progresif seiring dengan meningkatnya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(Martines, 2010). Tinnitus sering ditemukan pada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50 tahun, dan memiliki pengaruh psikologis yang besar.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Hal </w:t>
      </w:r>
      <w:proofErr w:type="gramStart"/>
      <w:r>
        <w:rPr>
          <w:rFonts w:ascii="Times New Roman" w:hAnsi="Times New Roman" w:cs="Times New Roman"/>
          <w:sz w:val="24"/>
          <w:szCs w:val="24"/>
        </w:rPr>
        <w:t>ini  juga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dicurigai menjadi salah satu faktor penyebab terjadinya bunuh diri pada orang tua (Monzani, 2008). </w:t>
      </w:r>
      <w:proofErr w:type="gramStart"/>
      <w:r>
        <w:rPr>
          <w:rFonts w:ascii="Times New Roman" w:hAnsi="Times New Roman" w:cs="Times New Roman"/>
          <w:sz w:val="24"/>
          <w:szCs w:val="24"/>
        </w:rPr>
        <w:t>Ada perbedaan kejadian tinnitus pada laki – laki dan perempuan.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Penelitian sebelumnya menunjukkan bahwa wanita memiliki skor </w:t>
      </w:r>
      <w:r w:rsidRPr="00123C74">
        <w:rPr>
          <w:rFonts w:ascii="Times New Roman" w:hAnsi="Times New Roman" w:cs="Times New Roman"/>
          <w:i/>
          <w:color w:val="000000"/>
          <w:sz w:val="24"/>
          <w:szCs w:val="24"/>
        </w:rPr>
        <w:t>Tinnitus Handicap Inventory</w:t>
      </w:r>
      <w:r w:rsidRPr="00123C74">
        <w:rPr>
          <w:rFonts w:ascii="Times New Roman" w:hAnsi="Times New Roman" w:cs="Times New Roman"/>
          <w:color w:val="000000"/>
          <w:sz w:val="24"/>
          <w:szCs w:val="24"/>
        </w:rPr>
        <w:t xml:space="preserve"> (THI)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lebih tinggi dibandingkan laki – laki.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Selain itu, pada wanita lebih sering ditemukan gangguan psikologis seperti kecemasan, depresi dan gangguan somatoform dibandingkan dengan laki - laki (Malakouti, 2011).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Perempuan dikatakan memiliki reaksi emosi yang lebih buruk terhadap tinnitus yang dirasakan dibandingkan dengan laki – laki, sehingga memiliki kualitas hidup yang lebih rendah (Henry, 2005).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Pada penelitian lainnya, disebutkan bahwa tidak ada perbedaan antara skor THI laki – laki dengan perempuan dan dinyatakan tidak adanya hubungan peningkatan skor THI dengan jenis kelamin.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Pasien dengan tinnitus bilateral lebih banyak ditemukan dibandingkan dengan tinnitus unilateral dengan derajat keparahan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severity) </w:t>
      </w:r>
      <w:r>
        <w:rPr>
          <w:rFonts w:ascii="Times New Roman" w:hAnsi="Times New Roman" w:cs="Times New Roman"/>
          <w:color w:val="000000"/>
          <w:sz w:val="24"/>
          <w:szCs w:val="24"/>
        </w:rPr>
        <w:t>yang lebih buruk pada tinnitus bilateral (Lim, 2010).</w:t>
      </w:r>
      <w:proofErr w:type="gramEnd"/>
    </w:p>
    <w:p w:rsidR="00297D2F" w:rsidRDefault="00297D2F" w:rsidP="00297D2F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23C74">
        <w:rPr>
          <w:rFonts w:ascii="Times New Roman" w:hAnsi="Times New Roman" w:cs="Times New Roman"/>
          <w:color w:val="000000"/>
          <w:sz w:val="24"/>
          <w:szCs w:val="24"/>
        </w:rPr>
        <w:t>engukur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123C74">
        <w:rPr>
          <w:rFonts w:ascii="Times New Roman" w:hAnsi="Times New Roman" w:cs="Times New Roman"/>
          <w:color w:val="000000"/>
          <w:sz w:val="24"/>
          <w:szCs w:val="24"/>
        </w:rPr>
        <w:t xml:space="preserve"> derajat ke</w:t>
      </w:r>
      <w:r>
        <w:rPr>
          <w:rFonts w:ascii="Times New Roman" w:hAnsi="Times New Roman" w:cs="Times New Roman"/>
          <w:color w:val="000000"/>
          <w:sz w:val="24"/>
          <w:szCs w:val="24"/>
        </w:rPr>
        <w:t>parahan tinnitus dapat meng</w:t>
      </w:r>
      <w:r w:rsidRPr="00123C74">
        <w:rPr>
          <w:rFonts w:ascii="Times New Roman" w:hAnsi="Times New Roman" w:cs="Times New Roman"/>
          <w:color w:val="000000"/>
          <w:sz w:val="24"/>
          <w:szCs w:val="24"/>
        </w:rPr>
        <w:t>gunakan kuisioner.</w:t>
      </w:r>
      <w:proofErr w:type="gramEnd"/>
      <w:r w:rsidRPr="00123C74">
        <w:rPr>
          <w:rFonts w:ascii="Times New Roman" w:hAnsi="Times New Roman" w:cs="Times New Roman"/>
          <w:color w:val="000000"/>
          <w:sz w:val="24"/>
          <w:szCs w:val="24"/>
        </w:rPr>
        <w:t xml:space="preserve"> Beberapa kuisioner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telah</w:t>
      </w:r>
      <w:r w:rsidRPr="00123C74">
        <w:rPr>
          <w:rFonts w:ascii="Times New Roman" w:hAnsi="Times New Roman" w:cs="Times New Roman"/>
          <w:color w:val="000000"/>
          <w:sz w:val="24"/>
          <w:szCs w:val="24"/>
        </w:rPr>
        <w:t xml:space="preserve"> digunakan adalah </w:t>
      </w:r>
      <w:r w:rsidRPr="00123C74">
        <w:rPr>
          <w:rFonts w:ascii="Times New Roman" w:hAnsi="Times New Roman" w:cs="Times New Roman"/>
          <w:i/>
          <w:color w:val="000000"/>
          <w:sz w:val="24"/>
          <w:szCs w:val="24"/>
        </w:rPr>
        <w:t>Tinnitus Severity Scale, Tinnitus Handicap Questionnaire, Subjective Tinnitus Severity Scale, Tinnitus Reaction Questionnaire, Tinnitus Questionare</w:t>
      </w:r>
      <w:r w:rsidRPr="00123C7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Pr="00123C74">
        <w:rPr>
          <w:rFonts w:ascii="Times New Roman" w:hAnsi="Times New Roman" w:cs="Times New Roman"/>
          <w:i/>
          <w:color w:val="000000"/>
          <w:sz w:val="24"/>
          <w:szCs w:val="24"/>
        </w:rPr>
        <w:t>the Tinnitus Handicap Inventory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(Lim, 2010)</w:t>
      </w:r>
      <w:r w:rsidRPr="00123C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23C74"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C74">
        <w:rPr>
          <w:rFonts w:ascii="Times New Roman" w:hAnsi="Times New Roman" w:cs="Times New Roman"/>
          <w:color w:val="000000"/>
          <w:sz w:val="24"/>
          <w:szCs w:val="24"/>
        </w:rPr>
        <w:t xml:space="preserve">antara kuisioner tersebut, </w:t>
      </w:r>
      <w:r w:rsidRPr="00123C74">
        <w:rPr>
          <w:rFonts w:ascii="Times New Roman" w:hAnsi="Times New Roman" w:cs="Times New Roman"/>
          <w:i/>
          <w:color w:val="000000"/>
          <w:sz w:val="24"/>
          <w:szCs w:val="24"/>
        </w:rPr>
        <w:t>the Tinnitus Handicap Inventory</w:t>
      </w:r>
      <w:r w:rsidRPr="00123C74">
        <w:rPr>
          <w:rFonts w:ascii="Times New Roman" w:hAnsi="Times New Roman" w:cs="Times New Roman"/>
          <w:color w:val="000000"/>
          <w:sz w:val="24"/>
          <w:szCs w:val="24"/>
        </w:rPr>
        <w:t xml:space="preserve"> (THI) digunakan </w:t>
      </w:r>
      <w:r>
        <w:rPr>
          <w:rFonts w:ascii="Times New Roman" w:hAnsi="Times New Roman" w:cs="Times New Roman"/>
          <w:color w:val="000000"/>
          <w:sz w:val="24"/>
          <w:szCs w:val="24"/>
        </w:rPr>
        <w:t>secara luas pada prakte</w:t>
      </w:r>
      <w:r w:rsidRPr="00123C74">
        <w:rPr>
          <w:rFonts w:ascii="Times New Roman" w:hAnsi="Times New Roman" w:cs="Times New Roman"/>
          <w:color w:val="000000"/>
          <w:sz w:val="24"/>
          <w:szCs w:val="24"/>
        </w:rPr>
        <w:t>k kl</w:t>
      </w:r>
      <w:r>
        <w:rPr>
          <w:rFonts w:ascii="Times New Roman" w:hAnsi="Times New Roman" w:cs="Times New Roman"/>
          <w:color w:val="000000"/>
          <w:sz w:val="24"/>
          <w:szCs w:val="24"/>
        </w:rPr>
        <w:t>inis sebagai alat untuk mengukur</w:t>
      </w:r>
      <w:r w:rsidRPr="00123C74">
        <w:rPr>
          <w:rFonts w:ascii="Times New Roman" w:hAnsi="Times New Roman" w:cs="Times New Roman"/>
          <w:color w:val="000000"/>
          <w:sz w:val="24"/>
          <w:szCs w:val="24"/>
        </w:rPr>
        <w:t xml:space="preserve"> pengaruh tinnitus dalam kehidupan sehari – hari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berkaitan dengan penurunan kualitas hidup </w:t>
      </w:r>
      <w:r>
        <w:rPr>
          <w:rFonts w:ascii="Times New Roman" w:hAnsi="Times New Roman" w:cs="Times New Roman"/>
          <w:sz w:val="24"/>
          <w:szCs w:val="24"/>
        </w:rPr>
        <w:t>(Lee, 2004)</w:t>
      </w:r>
      <w:r w:rsidRPr="00123C7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D3C7C" w:rsidRPr="00B51117" w:rsidRDefault="008D3C7C" w:rsidP="00297D2F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Penelitian ini bertujuan untuk mengetahui ada tidak nya pengaruh dari faktor jenis kelamin,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lokasi tinnitus pada pasien tinnitus di RSU Provinsi NTB.</w:t>
      </w:r>
    </w:p>
    <w:p w:rsidR="00154CCA" w:rsidRPr="00297D2F" w:rsidRDefault="00154CCA" w:rsidP="00297D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</w:rPr>
      </w:pPr>
    </w:p>
    <w:p w:rsidR="0097146C" w:rsidRDefault="0097146C" w:rsidP="0097146C">
      <w:pPr>
        <w:pStyle w:val="WW-Default"/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 PENELITIAN</w:t>
      </w:r>
    </w:p>
    <w:p w:rsidR="0097146C" w:rsidRDefault="0004353B" w:rsidP="0004353B">
      <w:pPr>
        <w:tabs>
          <w:tab w:val="left" w:pos="270"/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97146C" w:rsidRPr="00325653">
        <w:rPr>
          <w:rFonts w:ascii="Times New Roman" w:hAnsi="Times New Roman"/>
          <w:sz w:val="24"/>
          <w:szCs w:val="24"/>
        </w:rPr>
        <w:t>Penelitian ini merupa</w:t>
      </w:r>
      <w:r>
        <w:rPr>
          <w:rFonts w:ascii="Times New Roman" w:hAnsi="Times New Roman"/>
          <w:sz w:val="24"/>
          <w:szCs w:val="24"/>
        </w:rPr>
        <w:t>kan suatu penelitian deskriptif</w:t>
      </w:r>
      <w:r w:rsidR="00297D2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7D2F">
        <w:rPr>
          <w:rFonts w:ascii="Times New Roman" w:hAnsi="Times New Roman"/>
          <w:sz w:val="24"/>
          <w:szCs w:val="24"/>
        </w:rPr>
        <w:t>analitik non-eksperimental</w:t>
      </w:r>
      <w:r w:rsidR="0097146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7D2F">
        <w:rPr>
          <w:rFonts w:ascii="Times New Roman" w:hAnsi="Times New Roman"/>
          <w:sz w:val="24"/>
          <w:szCs w:val="24"/>
        </w:rPr>
        <w:t xml:space="preserve">dengan desain penelitian </w:t>
      </w:r>
      <w:r w:rsidR="00297D2F" w:rsidRPr="00297D2F">
        <w:rPr>
          <w:rFonts w:ascii="Times New Roman" w:hAnsi="Times New Roman"/>
          <w:i/>
          <w:sz w:val="24"/>
          <w:szCs w:val="24"/>
        </w:rPr>
        <w:t>cross-</w:t>
      </w:r>
      <w:r w:rsidR="0097146C" w:rsidRPr="00297D2F">
        <w:rPr>
          <w:rFonts w:ascii="Times New Roman" w:hAnsi="Times New Roman"/>
          <w:i/>
          <w:sz w:val="24"/>
          <w:szCs w:val="24"/>
        </w:rPr>
        <w:t>sectional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 dilaksanakan selama bulan November – Desember 2011 di poli THT RSU Provinsi NTB</w:t>
      </w:r>
      <w:r w:rsidR="0097146C" w:rsidRPr="0032565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7146C" w:rsidRPr="00325653">
        <w:rPr>
          <w:rFonts w:ascii="Times New Roman" w:hAnsi="Times New Roman"/>
          <w:sz w:val="24"/>
          <w:szCs w:val="24"/>
        </w:rPr>
        <w:t xml:space="preserve"> </w:t>
      </w:r>
      <w:r w:rsidR="000E6A57" w:rsidRPr="00F8673D">
        <w:rPr>
          <w:rFonts w:ascii="Times New Roman" w:hAnsi="Times New Roman"/>
          <w:sz w:val="24"/>
          <w:szCs w:val="24"/>
          <w:lang w:val="id-ID"/>
        </w:rPr>
        <w:t>Populasi pada penelitian ini merupakan</w:t>
      </w:r>
      <w:r w:rsidR="00297D2F">
        <w:rPr>
          <w:rFonts w:ascii="Times New Roman" w:hAnsi="Times New Roman"/>
          <w:sz w:val="24"/>
          <w:szCs w:val="24"/>
        </w:rPr>
        <w:t xml:space="preserve"> seluruh pasien yang berkunju</w:t>
      </w:r>
      <w:r>
        <w:rPr>
          <w:rFonts w:ascii="Times New Roman" w:hAnsi="Times New Roman"/>
          <w:sz w:val="24"/>
          <w:szCs w:val="24"/>
        </w:rPr>
        <w:t>ng ke poli THT RSU Provinsi NTB</w:t>
      </w:r>
      <w:r w:rsidR="000E6A57">
        <w:rPr>
          <w:rFonts w:ascii="Times New Roman" w:hAnsi="Times New Roman"/>
          <w:sz w:val="24"/>
          <w:szCs w:val="24"/>
          <w:lang w:val="id-ID"/>
        </w:rPr>
        <w:t>.</w:t>
      </w:r>
      <w:r w:rsidR="00297D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7D2F">
        <w:rPr>
          <w:rFonts w:ascii="Times New Roman" w:hAnsi="Times New Roman"/>
          <w:sz w:val="24"/>
          <w:szCs w:val="24"/>
        </w:rPr>
        <w:t>Samp</w:t>
      </w:r>
      <w:r>
        <w:rPr>
          <w:rFonts w:ascii="Times New Roman" w:hAnsi="Times New Roman"/>
          <w:sz w:val="24"/>
          <w:szCs w:val="24"/>
        </w:rPr>
        <w:t xml:space="preserve">el penelitian diambil dari populasi yang memenuhi kriteria inklusi dan eksklusi yaitu sebanyak 37 orang sampel yang diambil dengan teknik </w:t>
      </w:r>
      <w:r w:rsidRPr="0004353B">
        <w:rPr>
          <w:rFonts w:ascii="Times New Roman" w:hAnsi="Times New Roman"/>
          <w:i/>
          <w:sz w:val="24"/>
          <w:szCs w:val="24"/>
        </w:rPr>
        <w:t>consecutive sampling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0E6A5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Kriteria inklusi dalam penelitian ini adalah, pasien yang datang ke pol</w:t>
      </w:r>
      <w:r w:rsidR="001B61ED">
        <w:rPr>
          <w:rFonts w:ascii="Times New Roman" w:hAnsi="Times New Roman"/>
          <w:sz w:val="24"/>
          <w:szCs w:val="24"/>
        </w:rPr>
        <w:t>i THT dengan keluhan tinnitus</w:t>
      </w:r>
      <w:r>
        <w:rPr>
          <w:rFonts w:ascii="Times New Roman" w:hAnsi="Times New Roman"/>
          <w:sz w:val="24"/>
          <w:szCs w:val="24"/>
        </w:rPr>
        <w:t>, pasien berusia &gt; 25 tahun, dan pasien yang bersedia mengikuti penelitian.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Dalam penelitian ini pasien tinnitus yang sebelum menderita tinnitus pernah mengalami gangguan psikologis atau saat dilakukan pengambilan data pasien sedang dalam perawatan psikiatrik tidak termasuk dalam sampel penelitian.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B61ED" w:rsidRPr="001B61ED" w:rsidRDefault="008D3C7C" w:rsidP="001B61ED">
      <w:p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33A0C">
        <w:rPr>
          <w:rFonts w:ascii="Times New Roman" w:hAnsi="Times New Roman"/>
          <w:sz w:val="24"/>
          <w:szCs w:val="24"/>
        </w:rPr>
        <w:t>Responden yang terpilih kemudian mengisi kuisioner THI, dan setelah itu dilakukan penghitungan skor total kuisioner.</w:t>
      </w:r>
      <w:proofErr w:type="gramEnd"/>
      <w:r w:rsidR="001B61ED">
        <w:rPr>
          <w:rFonts w:ascii="Times New Roman" w:hAnsi="Times New Roman"/>
          <w:sz w:val="24"/>
          <w:szCs w:val="24"/>
        </w:rPr>
        <w:t xml:space="preserve"> </w:t>
      </w:r>
      <w:r w:rsidR="001B61ED" w:rsidRPr="001B61ED">
        <w:rPr>
          <w:rFonts w:ascii="Times New Roman" w:hAnsi="Times New Roman"/>
          <w:sz w:val="24"/>
          <w:szCs w:val="24"/>
        </w:rPr>
        <w:t xml:space="preserve">Kuisioner ini menggunakan 3 poin skala likert di mana jika pasien menjawab tidak = 0, menjawab kadang – kadang = 2 dan menjawab ya = 4. Berdasarkan skor total, tinnitus nantinya </w:t>
      </w:r>
      <w:proofErr w:type="gramStart"/>
      <w:r w:rsidR="001B61ED" w:rsidRPr="001B61ED">
        <w:rPr>
          <w:rFonts w:ascii="Times New Roman" w:hAnsi="Times New Roman"/>
          <w:sz w:val="24"/>
          <w:szCs w:val="24"/>
        </w:rPr>
        <w:t>akan</w:t>
      </w:r>
      <w:proofErr w:type="gramEnd"/>
      <w:r w:rsidR="001B61ED" w:rsidRPr="001B61ED">
        <w:rPr>
          <w:rFonts w:ascii="Times New Roman" w:hAnsi="Times New Roman"/>
          <w:sz w:val="24"/>
          <w:szCs w:val="24"/>
        </w:rPr>
        <w:t xml:space="preserve"> terbagi dalam 4 kategori yaitu</w:t>
      </w:r>
      <w:r w:rsidR="001B61ED" w:rsidRPr="001B61ED">
        <w:rPr>
          <w:rFonts w:ascii="Times New Roman" w:hAnsi="Times New Roman"/>
          <w:i/>
          <w:sz w:val="24"/>
          <w:szCs w:val="24"/>
        </w:rPr>
        <w:t xml:space="preserve"> no handicap/grade 1 </w:t>
      </w:r>
      <w:r w:rsidR="001B61ED" w:rsidRPr="001B61ED">
        <w:rPr>
          <w:rFonts w:ascii="Times New Roman" w:hAnsi="Times New Roman"/>
          <w:sz w:val="24"/>
          <w:szCs w:val="24"/>
        </w:rPr>
        <w:t xml:space="preserve">(0-16), </w:t>
      </w:r>
      <w:r w:rsidR="001B61ED" w:rsidRPr="001B61ED">
        <w:rPr>
          <w:rFonts w:ascii="Times New Roman" w:hAnsi="Times New Roman"/>
          <w:i/>
          <w:sz w:val="24"/>
          <w:szCs w:val="24"/>
        </w:rPr>
        <w:t>mild handicap/grade 2</w:t>
      </w:r>
      <w:r w:rsidR="001B61ED" w:rsidRPr="001B61ED">
        <w:rPr>
          <w:rFonts w:ascii="Times New Roman" w:hAnsi="Times New Roman"/>
          <w:sz w:val="24"/>
          <w:szCs w:val="24"/>
        </w:rPr>
        <w:t xml:space="preserve"> (18-36), </w:t>
      </w:r>
      <w:r w:rsidR="001B61ED" w:rsidRPr="001B61ED">
        <w:rPr>
          <w:rFonts w:ascii="Times New Roman" w:hAnsi="Times New Roman"/>
          <w:i/>
          <w:sz w:val="24"/>
          <w:szCs w:val="24"/>
        </w:rPr>
        <w:t>moderate handicap/grade 3</w:t>
      </w:r>
      <w:r w:rsidR="001B61ED" w:rsidRPr="001B61ED">
        <w:rPr>
          <w:rFonts w:ascii="Times New Roman" w:hAnsi="Times New Roman"/>
          <w:sz w:val="24"/>
          <w:szCs w:val="24"/>
        </w:rPr>
        <w:t xml:space="preserve"> (38-56), dan </w:t>
      </w:r>
      <w:r w:rsidR="001B61ED" w:rsidRPr="001B61ED">
        <w:rPr>
          <w:rFonts w:ascii="Times New Roman" w:hAnsi="Times New Roman"/>
          <w:i/>
          <w:sz w:val="24"/>
          <w:szCs w:val="24"/>
        </w:rPr>
        <w:t xml:space="preserve">severe handicap/grade 4 </w:t>
      </w:r>
      <w:r w:rsidR="001B61ED" w:rsidRPr="001B61ED">
        <w:rPr>
          <w:rFonts w:ascii="Times New Roman" w:hAnsi="Times New Roman"/>
          <w:sz w:val="24"/>
          <w:szCs w:val="24"/>
        </w:rPr>
        <w:t>(58-100).</w:t>
      </w:r>
    </w:p>
    <w:p w:rsidR="00D33A0C" w:rsidRPr="00D33A0C" w:rsidRDefault="00D33A0C" w:rsidP="008D3C7C">
      <w:pPr>
        <w:tabs>
          <w:tab w:val="left" w:pos="3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Setelah semua data terkumpul, </w:t>
      </w:r>
      <w:r w:rsidR="008D3C7C">
        <w:rPr>
          <w:rFonts w:ascii="Times New Roman" w:hAnsi="Times New Roman"/>
          <w:sz w:val="24"/>
          <w:szCs w:val="24"/>
        </w:rPr>
        <w:t xml:space="preserve">data di deskripsikan berdasarkan jenis kelamin, </w:t>
      </w:r>
      <w:proofErr w:type="gramStart"/>
      <w:r w:rsidR="008D3C7C">
        <w:rPr>
          <w:rFonts w:ascii="Times New Roman" w:hAnsi="Times New Roman"/>
          <w:sz w:val="24"/>
          <w:szCs w:val="24"/>
        </w:rPr>
        <w:t>usia</w:t>
      </w:r>
      <w:proofErr w:type="gramEnd"/>
      <w:r w:rsidR="008D3C7C">
        <w:rPr>
          <w:rFonts w:ascii="Times New Roman" w:hAnsi="Times New Roman"/>
          <w:sz w:val="24"/>
          <w:szCs w:val="24"/>
        </w:rPr>
        <w:t xml:space="preserve">, lokasi tinnitus dan derajat tinnitus. </w:t>
      </w:r>
      <w:proofErr w:type="gramStart"/>
      <w:r w:rsidR="008D3C7C">
        <w:rPr>
          <w:rFonts w:ascii="Times New Roman" w:hAnsi="Times New Roman"/>
          <w:sz w:val="24"/>
          <w:szCs w:val="24"/>
        </w:rPr>
        <w:t>untuk</w:t>
      </w:r>
      <w:proofErr w:type="gramEnd"/>
      <w:r w:rsidR="008D3C7C">
        <w:rPr>
          <w:rFonts w:ascii="Times New Roman" w:hAnsi="Times New Roman"/>
          <w:sz w:val="24"/>
          <w:szCs w:val="24"/>
        </w:rPr>
        <w:t xml:space="preserve"> mengetahui pengaruh dari masing - masing faktor, dilakukan uji normalitas terlebih dahulu pada masing masing variabel, kemudian dilakukan uji </w:t>
      </w:r>
      <w:r w:rsidR="008D3C7C" w:rsidRPr="008D3C7C">
        <w:rPr>
          <w:rFonts w:ascii="Times New Roman" w:hAnsi="Times New Roman"/>
          <w:i/>
          <w:sz w:val="24"/>
          <w:szCs w:val="24"/>
        </w:rPr>
        <w:t>Mann-Withney</w:t>
      </w:r>
      <w:r w:rsidR="008D3C7C">
        <w:rPr>
          <w:rFonts w:ascii="Times New Roman" w:hAnsi="Times New Roman"/>
          <w:sz w:val="24"/>
          <w:szCs w:val="24"/>
        </w:rPr>
        <w:t xml:space="preserve"> untuk variabel jenis kelamin dan lokasi tinnitus, serta uji </w:t>
      </w:r>
      <w:r w:rsidR="008D3C7C" w:rsidRPr="008D3C7C">
        <w:rPr>
          <w:rFonts w:ascii="Times New Roman" w:hAnsi="Times New Roman"/>
          <w:i/>
          <w:sz w:val="24"/>
          <w:szCs w:val="24"/>
        </w:rPr>
        <w:t>Kruskal-Wallis</w:t>
      </w:r>
      <w:r w:rsidR="008D3C7C">
        <w:rPr>
          <w:rFonts w:ascii="Times New Roman" w:hAnsi="Times New Roman"/>
          <w:sz w:val="24"/>
          <w:szCs w:val="24"/>
        </w:rPr>
        <w:t xml:space="preserve"> untuk variabel usia. </w:t>
      </w:r>
    </w:p>
    <w:p w:rsidR="00D812E1" w:rsidRPr="001B61ED" w:rsidRDefault="008D3C7C" w:rsidP="001B61ED">
      <w:pPr>
        <w:tabs>
          <w:tab w:val="left" w:pos="567"/>
          <w:tab w:val="left" w:pos="15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8D3C7C">
        <w:rPr>
          <w:rFonts w:ascii="Times New Roman" w:hAnsi="Times New Roman"/>
          <w:sz w:val="24"/>
          <w:szCs w:val="24"/>
        </w:rPr>
        <w:t xml:space="preserve">Sebelum </w:t>
      </w:r>
      <w:r w:rsidR="002F431F">
        <w:rPr>
          <w:rFonts w:ascii="Times New Roman" w:hAnsi="Times New Roman"/>
          <w:sz w:val="24"/>
          <w:szCs w:val="24"/>
        </w:rPr>
        <w:t>dilakukan penelitian</w:t>
      </w:r>
      <w:r w:rsidR="001B61ED">
        <w:rPr>
          <w:rFonts w:ascii="Times New Roman" w:hAnsi="Times New Roman"/>
          <w:sz w:val="24"/>
          <w:szCs w:val="24"/>
        </w:rPr>
        <w:t>,</w:t>
      </w:r>
      <w:r w:rsidR="002F431F">
        <w:rPr>
          <w:rFonts w:ascii="Times New Roman" w:hAnsi="Times New Roman"/>
          <w:sz w:val="24"/>
          <w:szCs w:val="24"/>
        </w:rPr>
        <w:t xml:space="preserve"> telah dilakukan uji</w:t>
      </w:r>
      <w:r w:rsidRPr="008D3C7C">
        <w:rPr>
          <w:rFonts w:ascii="Times New Roman" w:hAnsi="Times New Roman"/>
          <w:sz w:val="24"/>
          <w:szCs w:val="24"/>
        </w:rPr>
        <w:t xml:space="preserve"> validitas dan reliabilitas pada 10 orang sampel untuk</w:t>
      </w:r>
      <w:r>
        <w:rPr>
          <w:rFonts w:ascii="Times New Roman" w:hAnsi="Times New Roman"/>
          <w:sz w:val="24"/>
          <w:szCs w:val="24"/>
        </w:rPr>
        <w:t xml:space="preserve"> menentukan apakah kuisioner valid dan konsisten untuk digunakan sebagai instrumen penelitian.</w:t>
      </w:r>
      <w:proofErr w:type="gramEnd"/>
    </w:p>
    <w:p w:rsidR="0097146C" w:rsidRDefault="0097146C" w:rsidP="007B1B6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2A7D74">
        <w:rPr>
          <w:rFonts w:ascii="Times New Roman" w:hAnsi="Times New Roman"/>
          <w:b/>
          <w:sz w:val="24"/>
          <w:szCs w:val="24"/>
        </w:rPr>
        <w:t>HASIL PENELITIAN</w:t>
      </w:r>
    </w:p>
    <w:p w:rsidR="007B1B6E" w:rsidRPr="002F431F" w:rsidRDefault="002F431F" w:rsidP="002F43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 w:rsidRPr="002F431F">
        <w:rPr>
          <w:rFonts w:ascii="Times New Roman" w:hAnsi="Times New Roman"/>
          <w:b/>
          <w:sz w:val="24"/>
          <w:szCs w:val="24"/>
        </w:rPr>
        <w:t>Hasil Uji Validitas dan Reliabilitas</w:t>
      </w:r>
    </w:p>
    <w:tbl>
      <w:tblPr>
        <w:tblStyle w:val="LightShading2"/>
        <w:tblW w:w="8019" w:type="dxa"/>
        <w:tblLook w:val="04A0"/>
      </w:tblPr>
      <w:tblGrid>
        <w:gridCol w:w="5233"/>
        <w:gridCol w:w="2786"/>
      </w:tblGrid>
      <w:tr w:rsidR="002F431F" w:rsidRPr="00CE0E24" w:rsidTr="005C1239">
        <w:trPr>
          <w:cnfStyle w:val="100000000000"/>
          <w:trHeight w:val="546"/>
        </w:trPr>
        <w:tc>
          <w:tcPr>
            <w:cnfStyle w:val="001000000000"/>
            <w:tcW w:w="5233" w:type="dxa"/>
            <w:shd w:val="clear" w:color="auto" w:fill="auto"/>
          </w:tcPr>
          <w:p w:rsidR="002F431F" w:rsidRPr="005A468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Sub-skala THI</w:t>
            </w:r>
          </w:p>
        </w:tc>
        <w:tc>
          <w:tcPr>
            <w:tcW w:w="2786" w:type="dxa"/>
            <w:shd w:val="clear" w:color="auto" w:fill="auto"/>
          </w:tcPr>
          <w:p w:rsidR="002F431F" w:rsidRPr="005A468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Nilai p</w:t>
            </w:r>
          </w:p>
        </w:tc>
      </w:tr>
      <w:tr w:rsidR="002F431F" w:rsidTr="005C1239">
        <w:trPr>
          <w:cnfStyle w:val="000000100000"/>
          <w:trHeight w:val="459"/>
        </w:trPr>
        <w:tc>
          <w:tcPr>
            <w:cnfStyle w:val="001000000000"/>
            <w:tcW w:w="523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180"/>
                <w:tab w:val="left" w:pos="270"/>
                <w:tab w:val="left" w:pos="360"/>
                <w:tab w:val="left" w:pos="99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Sub-skala Emosional</w:t>
            </w:r>
          </w:p>
          <w:p w:rsidR="002F431F" w:rsidRDefault="002F431F" w:rsidP="001B61ED">
            <w:pPr>
              <w:tabs>
                <w:tab w:val="left" w:pos="180"/>
                <w:tab w:val="left" w:pos="270"/>
                <w:tab w:val="left" w:pos="360"/>
                <w:tab w:val="left" w:pos="99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Sub-skala Fungsional</w:t>
            </w:r>
          </w:p>
          <w:p w:rsidR="002F431F" w:rsidRPr="005A468F" w:rsidRDefault="002F431F" w:rsidP="001B61ED">
            <w:pPr>
              <w:tabs>
                <w:tab w:val="left" w:pos="180"/>
                <w:tab w:val="left" w:pos="270"/>
                <w:tab w:val="left" w:pos="360"/>
                <w:tab w:val="left" w:pos="99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Subskala Katastropik</w:t>
            </w:r>
          </w:p>
        </w:tc>
        <w:tc>
          <w:tcPr>
            <w:tcW w:w="2786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0,007</w:t>
            </w:r>
          </w:p>
        </w:tc>
      </w:tr>
    </w:tbl>
    <w:p w:rsidR="002F431F" w:rsidRPr="002F431F" w:rsidRDefault="002F431F" w:rsidP="002F431F">
      <w:pPr>
        <w:tabs>
          <w:tab w:val="left" w:pos="270"/>
          <w:tab w:val="left" w:pos="360"/>
          <w:tab w:val="left" w:pos="425"/>
          <w:tab w:val="left" w:pos="1440"/>
        </w:tabs>
        <w:spacing w:after="0"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431F" w:rsidRPr="002F431F" w:rsidRDefault="002F431F" w:rsidP="002F431F">
      <w:pPr>
        <w:tabs>
          <w:tab w:val="left" w:pos="270"/>
          <w:tab w:val="left" w:pos="360"/>
          <w:tab w:val="left" w:pos="425"/>
          <w:tab w:val="left" w:pos="144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F431F">
        <w:rPr>
          <w:rFonts w:ascii="Times New Roman" w:hAnsi="Times New Roman"/>
          <w:color w:val="000000"/>
          <w:sz w:val="24"/>
          <w:szCs w:val="24"/>
        </w:rPr>
        <w:t>Hasil dari uji validitas menunjukkan nilai p dari ketiga subskala &lt; 0</w:t>
      </w:r>
      <w:proofErr w:type="gramStart"/>
      <w:r w:rsidRPr="002F431F">
        <w:rPr>
          <w:rFonts w:ascii="Times New Roman" w:hAnsi="Times New Roman"/>
          <w:color w:val="000000"/>
          <w:sz w:val="24"/>
          <w:szCs w:val="24"/>
        </w:rPr>
        <w:t>,05</w:t>
      </w:r>
      <w:proofErr w:type="gramEnd"/>
      <w:r w:rsidRPr="002F431F">
        <w:rPr>
          <w:rFonts w:ascii="Times New Roman" w:hAnsi="Times New Roman"/>
          <w:color w:val="000000"/>
          <w:sz w:val="24"/>
          <w:szCs w:val="24"/>
        </w:rPr>
        <w:t>, sehingga ini berarti bahwa subskala tersebut valid karena memiliki hubungan yang signifikan antara skor sub-skala dengan jumlah skor total kuisioner.</w:t>
      </w:r>
    </w:p>
    <w:p w:rsidR="002F431F" w:rsidRDefault="002F431F" w:rsidP="002F431F">
      <w:pPr>
        <w:tabs>
          <w:tab w:val="left" w:pos="270"/>
          <w:tab w:val="left" w:pos="360"/>
          <w:tab w:val="left" w:pos="425"/>
          <w:tab w:val="left" w:pos="144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F431F">
        <w:rPr>
          <w:rFonts w:ascii="Times New Roman" w:hAnsi="Times New Roman"/>
          <w:color w:val="000000"/>
          <w:sz w:val="24"/>
          <w:szCs w:val="24"/>
        </w:rPr>
        <w:t>Uji reliabilitas yang dilakukan menunjukkan hasil nilai alfa, 0,825.</w:t>
      </w:r>
      <w:proofErr w:type="gramEnd"/>
      <w:r w:rsidRPr="002F431F">
        <w:rPr>
          <w:rFonts w:ascii="Times New Roman" w:hAnsi="Times New Roman"/>
          <w:color w:val="000000"/>
          <w:sz w:val="24"/>
          <w:szCs w:val="24"/>
        </w:rPr>
        <w:t xml:space="preserve"> Angket atau kuisioner dikatakan reliabel apabila memiliki nilai alfa minimal 0</w:t>
      </w:r>
      <w:proofErr w:type="gramStart"/>
      <w:r w:rsidRPr="002F431F">
        <w:rPr>
          <w:rFonts w:ascii="Times New Roman" w:hAnsi="Times New Roman"/>
          <w:color w:val="000000"/>
          <w:sz w:val="24"/>
          <w:szCs w:val="24"/>
        </w:rPr>
        <w:t>,7</w:t>
      </w:r>
      <w:proofErr w:type="gramEnd"/>
      <w:r w:rsidRPr="002F431F">
        <w:rPr>
          <w:rFonts w:ascii="Times New Roman" w:hAnsi="Times New Roman"/>
          <w:color w:val="000000"/>
          <w:sz w:val="24"/>
          <w:szCs w:val="24"/>
        </w:rPr>
        <w:t>, sehingga hasil uji reliabilitas menunjukkan bahwa nilai alfa diatas 0,7 sehingga kuisioner THI dikatakan reliabel.</w:t>
      </w:r>
    </w:p>
    <w:p w:rsidR="001B61ED" w:rsidRDefault="001B61ED" w:rsidP="002F431F">
      <w:pPr>
        <w:tabs>
          <w:tab w:val="left" w:pos="270"/>
          <w:tab w:val="left" w:pos="360"/>
          <w:tab w:val="left" w:pos="425"/>
          <w:tab w:val="left" w:pos="144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1ED" w:rsidRPr="002F431F" w:rsidRDefault="001B61ED" w:rsidP="002F431F">
      <w:pPr>
        <w:tabs>
          <w:tab w:val="left" w:pos="270"/>
          <w:tab w:val="left" w:pos="360"/>
          <w:tab w:val="left" w:pos="425"/>
          <w:tab w:val="left" w:pos="144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431F" w:rsidRPr="002F431F" w:rsidRDefault="002F431F" w:rsidP="002F43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431F">
        <w:rPr>
          <w:rFonts w:ascii="Times New Roman" w:hAnsi="Times New Roman"/>
          <w:b/>
          <w:sz w:val="24"/>
          <w:szCs w:val="24"/>
        </w:rPr>
        <w:lastRenderedPageBreak/>
        <w:t>Karakteristik Responden</w:t>
      </w:r>
    </w:p>
    <w:p w:rsidR="002F431F" w:rsidRDefault="002F431F" w:rsidP="002F431F">
      <w:pPr>
        <w:tabs>
          <w:tab w:val="left" w:pos="425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F431F">
        <w:rPr>
          <w:rFonts w:ascii="Times New Roman" w:hAnsi="Times New Roman"/>
          <w:color w:val="000000"/>
          <w:sz w:val="24"/>
          <w:szCs w:val="24"/>
        </w:rPr>
        <w:t>Pada penelitian ini sebanyak 37 responden yang memenuhi kriteria inklusi diambil sebagai sampel penelitian.</w:t>
      </w:r>
      <w:proofErr w:type="gramEnd"/>
      <w:r w:rsidRPr="002F431F">
        <w:rPr>
          <w:rFonts w:ascii="Times New Roman" w:hAnsi="Times New Roman"/>
          <w:color w:val="000000"/>
          <w:sz w:val="24"/>
          <w:szCs w:val="24"/>
        </w:rPr>
        <w:t xml:space="preserve"> Hasil dari penelitian didapatkan kelompok usia terbanyak adalah usia 36-45 tahun sebanyak 12 responden (34</w:t>
      </w:r>
      <w:proofErr w:type="gramStart"/>
      <w:r w:rsidRPr="002F431F">
        <w:rPr>
          <w:rFonts w:ascii="Times New Roman" w:hAnsi="Times New Roman"/>
          <w:color w:val="000000"/>
          <w:sz w:val="24"/>
          <w:szCs w:val="24"/>
        </w:rPr>
        <w:t>,4</w:t>
      </w:r>
      <w:proofErr w:type="gramEnd"/>
      <w:r w:rsidRPr="002F431F">
        <w:rPr>
          <w:rFonts w:ascii="Times New Roman" w:hAnsi="Times New Roman"/>
          <w:color w:val="000000"/>
          <w:sz w:val="24"/>
          <w:szCs w:val="24"/>
        </w:rPr>
        <w:t>%). Jumlah ini disusul oleh responden usia 25-35 tahun sebanyak 11 responden (29</w:t>
      </w:r>
      <w:proofErr w:type="gramStart"/>
      <w:r w:rsidRPr="002F431F">
        <w:rPr>
          <w:rFonts w:ascii="Times New Roman" w:hAnsi="Times New Roman"/>
          <w:color w:val="000000"/>
          <w:sz w:val="24"/>
          <w:szCs w:val="24"/>
        </w:rPr>
        <w:t>,7</w:t>
      </w:r>
      <w:proofErr w:type="gramEnd"/>
      <w:r w:rsidRPr="002F431F">
        <w:rPr>
          <w:rFonts w:ascii="Times New Roman" w:hAnsi="Times New Roman"/>
          <w:color w:val="000000"/>
          <w:sz w:val="24"/>
          <w:szCs w:val="24"/>
        </w:rPr>
        <w:t xml:space="preserve">%), kemudian usia 36-45 tahun masing masing sebanyak 7 responden (18,9%). </w:t>
      </w:r>
    </w:p>
    <w:p w:rsidR="002F431F" w:rsidRPr="002F431F" w:rsidRDefault="002F431F" w:rsidP="002F431F">
      <w:pPr>
        <w:tabs>
          <w:tab w:val="left" w:pos="425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F431F">
        <w:rPr>
          <w:rFonts w:ascii="Times New Roman" w:hAnsi="Times New Roman"/>
          <w:color w:val="000000"/>
          <w:sz w:val="24"/>
          <w:szCs w:val="24"/>
        </w:rPr>
        <w:t xml:space="preserve">Responden laki – laki yang ikut berpartisipasi dalam penelitian ini sebanyak 23 responden (62,2%), lebih banyak dibandingkan responden perempuan yaitu 14 orang (37,8%).Sebanyak 20 responden (54,1%) mengeluhkan tinnitus bilateral, sedangkan 17 responden (45,9%) lainnya mengeluhkan tinnitus unilateral. </w:t>
      </w:r>
    </w:p>
    <w:p w:rsidR="002F431F" w:rsidRDefault="002F431F" w:rsidP="002F431F">
      <w:pPr>
        <w:tabs>
          <w:tab w:val="left" w:pos="425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F431F">
        <w:rPr>
          <w:rFonts w:ascii="Times New Roman" w:hAnsi="Times New Roman"/>
          <w:color w:val="000000"/>
          <w:sz w:val="24"/>
          <w:szCs w:val="24"/>
        </w:rPr>
        <w:t>Apabila dilihat dari derajat tinnitus, didapatkan 15 responden (40</w:t>
      </w:r>
      <w:proofErr w:type="gramStart"/>
      <w:r w:rsidRPr="002F431F">
        <w:rPr>
          <w:rFonts w:ascii="Times New Roman" w:hAnsi="Times New Roman"/>
          <w:color w:val="000000"/>
          <w:sz w:val="24"/>
          <w:szCs w:val="24"/>
        </w:rPr>
        <w:t>,5</w:t>
      </w:r>
      <w:proofErr w:type="gramEnd"/>
      <w:r w:rsidRPr="002F431F">
        <w:rPr>
          <w:rFonts w:ascii="Times New Roman" w:hAnsi="Times New Roman"/>
          <w:color w:val="000000"/>
          <w:sz w:val="24"/>
          <w:szCs w:val="24"/>
        </w:rPr>
        <w:t xml:space="preserve">%) masuk dalam kategori derajat 4, </w:t>
      </w:r>
      <w:r w:rsidRPr="002F431F">
        <w:rPr>
          <w:rFonts w:ascii="Times New Roman" w:hAnsi="Times New Roman"/>
          <w:i/>
          <w:color w:val="000000"/>
          <w:sz w:val="24"/>
          <w:szCs w:val="24"/>
        </w:rPr>
        <w:t>severe handicap</w:t>
      </w:r>
      <w:r w:rsidRPr="002F431F">
        <w:rPr>
          <w:rFonts w:ascii="Times New Roman" w:hAnsi="Times New Roman"/>
          <w:color w:val="000000"/>
          <w:sz w:val="24"/>
          <w:szCs w:val="24"/>
        </w:rPr>
        <w:t xml:space="preserve">. Sebanyak 10 responden (27,0%) masuk dalam derajat 3 yaitu </w:t>
      </w:r>
      <w:r w:rsidRPr="002F431F">
        <w:rPr>
          <w:rFonts w:ascii="Times New Roman" w:hAnsi="Times New Roman"/>
          <w:i/>
          <w:color w:val="000000"/>
          <w:sz w:val="24"/>
          <w:szCs w:val="24"/>
        </w:rPr>
        <w:t>moderate handicap</w:t>
      </w:r>
      <w:r w:rsidRPr="002F431F">
        <w:rPr>
          <w:rFonts w:ascii="Times New Roman" w:hAnsi="Times New Roman"/>
          <w:color w:val="000000"/>
          <w:sz w:val="24"/>
          <w:szCs w:val="24"/>
        </w:rPr>
        <w:t xml:space="preserve">, sedangkan responden yang masuk dalam kategori </w:t>
      </w:r>
      <w:r w:rsidRPr="002F431F">
        <w:rPr>
          <w:rFonts w:ascii="Times New Roman" w:hAnsi="Times New Roman"/>
          <w:i/>
          <w:color w:val="000000"/>
          <w:sz w:val="24"/>
          <w:szCs w:val="24"/>
        </w:rPr>
        <w:t>mild handicap</w:t>
      </w:r>
      <w:r w:rsidRPr="002F431F">
        <w:rPr>
          <w:rFonts w:ascii="Times New Roman" w:hAnsi="Times New Roman"/>
          <w:color w:val="000000"/>
          <w:sz w:val="24"/>
          <w:szCs w:val="24"/>
        </w:rPr>
        <w:t xml:space="preserve"> dan </w:t>
      </w:r>
      <w:r w:rsidRPr="002F431F">
        <w:rPr>
          <w:rFonts w:ascii="Times New Roman" w:hAnsi="Times New Roman"/>
          <w:i/>
          <w:color w:val="000000"/>
          <w:sz w:val="24"/>
          <w:szCs w:val="24"/>
        </w:rPr>
        <w:t>no handicap</w:t>
      </w:r>
      <w:r w:rsidRPr="002F431F">
        <w:rPr>
          <w:rFonts w:ascii="Times New Roman" w:hAnsi="Times New Roman"/>
          <w:color w:val="000000"/>
          <w:sz w:val="24"/>
          <w:szCs w:val="24"/>
        </w:rPr>
        <w:t xml:space="preserve"> masing masing sebanyak 6 responden (16,2%).</w:t>
      </w:r>
    </w:p>
    <w:p w:rsidR="001B61ED" w:rsidRPr="002F431F" w:rsidRDefault="001B61ED" w:rsidP="001B61ED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LightShading2"/>
        <w:tblW w:w="8208" w:type="dxa"/>
        <w:tblLook w:val="04A0"/>
      </w:tblPr>
      <w:tblGrid>
        <w:gridCol w:w="3888"/>
        <w:gridCol w:w="2070"/>
        <w:gridCol w:w="2250"/>
      </w:tblGrid>
      <w:tr w:rsidR="002F431F" w:rsidRPr="00CE0E24" w:rsidTr="005C1239">
        <w:trPr>
          <w:cnfStyle w:val="100000000000"/>
          <w:trHeight w:val="541"/>
        </w:trPr>
        <w:tc>
          <w:tcPr>
            <w:cnfStyle w:val="001000000000"/>
            <w:tcW w:w="3888" w:type="dxa"/>
            <w:shd w:val="clear" w:color="auto" w:fill="auto"/>
          </w:tcPr>
          <w:p w:rsidR="002F431F" w:rsidRPr="005A468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8F">
              <w:rPr>
                <w:rFonts w:ascii="Times New Roman" w:hAnsi="Times New Roman"/>
                <w:color w:val="000000"/>
                <w:sz w:val="24"/>
                <w:szCs w:val="24"/>
              </w:rPr>
              <w:t>Karakteristik Responden</w:t>
            </w:r>
          </w:p>
        </w:tc>
        <w:tc>
          <w:tcPr>
            <w:tcW w:w="2070" w:type="dxa"/>
            <w:shd w:val="clear" w:color="auto" w:fill="auto"/>
          </w:tcPr>
          <w:p w:rsidR="002F431F" w:rsidRPr="005A468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250" w:type="dxa"/>
            <w:shd w:val="clear" w:color="auto" w:fill="auto"/>
          </w:tcPr>
          <w:p w:rsidR="002F431F" w:rsidRPr="005A468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8F">
              <w:rPr>
                <w:rFonts w:ascii="Times New Roman" w:hAnsi="Times New Roman"/>
                <w:color w:val="000000"/>
                <w:sz w:val="24"/>
                <w:szCs w:val="24"/>
              </w:rPr>
              <w:t>Persentase (%)</w:t>
            </w:r>
          </w:p>
        </w:tc>
      </w:tr>
      <w:tr w:rsidR="002F431F" w:rsidTr="005C1239">
        <w:trPr>
          <w:cnfStyle w:val="000000100000"/>
        </w:trPr>
        <w:tc>
          <w:tcPr>
            <w:cnfStyle w:val="001000000000"/>
            <w:tcW w:w="388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8F">
              <w:rPr>
                <w:rFonts w:ascii="Times New Roman" w:hAnsi="Times New Roman"/>
                <w:color w:val="000000"/>
                <w:sz w:val="24"/>
                <w:szCs w:val="24"/>
              </w:rPr>
              <w:t>Kelompok Usia (tahun)</w:t>
            </w:r>
          </w:p>
          <w:p w:rsidR="002F431F" w:rsidRPr="00CC4C4A" w:rsidRDefault="002F431F" w:rsidP="001B61ED">
            <w:pPr>
              <w:tabs>
                <w:tab w:val="left" w:pos="180"/>
                <w:tab w:val="left" w:pos="270"/>
                <w:tab w:val="left" w:pos="360"/>
                <w:tab w:val="left" w:pos="99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25-35</w:t>
            </w:r>
          </w:p>
          <w:p w:rsidR="002F431F" w:rsidRPr="00CC4C4A" w:rsidRDefault="002F431F" w:rsidP="001B61ED">
            <w:pPr>
              <w:tabs>
                <w:tab w:val="left" w:pos="180"/>
                <w:tab w:val="left" w:pos="270"/>
                <w:tab w:val="left" w:pos="360"/>
                <w:tab w:val="left" w:pos="99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36-45</w:t>
            </w:r>
          </w:p>
          <w:p w:rsidR="002F431F" w:rsidRPr="00CC4C4A" w:rsidRDefault="002F431F" w:rsidP="001B61ED">
            <w:pPr>
              <w:tabs>
                <w:tab w:val="left" w:pos="180"/>
                <w:tab w:val="left" w:pos="270"/>
                <w:tab w:val="left" w:pos="360"/>
                <w:tab w:val="left" w:pos="99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46-55</w:t>
            </w:r>
          </w:p>
          <w:p w:rsidR="002F431F" w:rsidRPr="005A468F" w:rsidRDefault="002F431F" w:rsidP="001B61ED">
            <w:pPr>
              <w:tabs>
                <w:tab w:val="left" w:pos="180"/>
                <w:tab w:val="left" w:pos="270"/>
                <w:tab w:val="left" w:pos="360"/>
                <w:tab w:val="left" w:pos="99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&gt;55</w:t>
            </w:r>
          </w:p>
        </w:tc>
        <w:tc>
          <w:tcPr>
            <w:tcW w:w="207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29,7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</w:tr>
      <w:tr w:rsidR="002F431F" w:rsidTr="005C1239">
        <w:tc>
          <w:tcPr>
            <w:cnfStyle w:val="001000000000"/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8F">
              <w:rPr>
                <w:rFonts w:ascii="Times New Roman" w:hAnsi="Times New Roman"/>
                <w:color w:val="000000"/>
                <w:sz w:val="24"/>
                <w:szCs w:val="24"/>
              </w:rPr>
              <w:t>Jenis Kelamin</w:t>
            </w:r>
          </w:p>
          <w:p w:rsidR="002F431F" w:rsidRPr="00CC4C4A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Laki-laki</w:t>
            </w:r>
          </w:p>
          <w:p w:rsidR="002F431F" w:rsidRPr="005A468F" w:rsidRDefault="002F431F" w:rsidP="001B61ED">
            <w:pPr>
              <w:tabs>
                <w:tab w:val="left" w:pos="270"/>
                <w:tab w:val="left" w:pos="360"/>
                <w:tab w:val="left" w:pos="144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62,2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37,8</w:t>
            </w:r>
          </w:p>
        </w:tc>
      </w:tr>
      <w:tr w:rsidR="002F431F" w:rsidTr="005C1239">
        <w:trPr>
          <w:cnfStyle w:val="000000100000"/>
        </w:trPr>
        <w:tc>
          <w:tcPr>
            <w:cnfStyle w:val="001000000000"/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8F">
              <w:rPr>
                <w:rFonts w:ascii="Times New Roman" w:hAnsi="Times New Roman"/>
                <w:color w:val="000000"/>
                <w:sz w:val="24"/>
                <w:szCs w:val="24"/>
              </w:rPr>
              <w:t>Lokasi Tinnitus</w:t>
            </w:r>
          </w:p>
          <w:p w:rsidR="002F431F" w:rsidRPr="00CC4C4A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Unilateral</w:t>
            </w:r>
          </w:p>
          <w:p w:rsidR="002F431F" w:rsidRPr="005A468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Bilateral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45,9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</w:tr>
      <w:tr w:rsidR="002F431F" w:rsidTr="005C1239">
        <w:tc>
          <w:tcPr>
            <w:cnfStyle w:val="001000000000"/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Derajat Tinnitus</w:t>
            </w:r>
          </w:p>
          <w:p w:rsidR="002F431F" w:rsidRPr="00CC4C4A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No Handicap</w:t>
            </w:r>
          </w:p>
          <w:p w:rsidR="002F431F" w:rsidRPr="00CC4C4A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Mild Handicap</w:t>
            </w:r>
          </w:p>
          <w:p w:rsidR="002F431F" w:rsidRPr="00CC4C4A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Moderate Handicap</w:t>
            </w:r>
          </w:p>
          <w:p w:rsidR="002F431F" w:rsidRPr="005A468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Severe Handicap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  <w:p w:rsidR="002F431F" w:rsidRDefault="002F431F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</w:tr>
    </w:tbl>
    <w:p w:rsidR="002F431F" w:rsidRDefault="002F431F" w:rsidP="002F431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F431F" w:rsidRDefault="005932F0" w:rsidP="005932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Normalitas</w:t>
      </w:r>
    </w:p>
    <w:p w:rsidR="005932F0" w:rsidRDefault="001B61ED" w:rsidP="005932F0">
      <w:pPr>
        <w:tabs>
          <w:tab w:val="left" w:pos="425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932F0" w:rsidRPr="005932F0">
        <w:rPr>
          <w:rFonts w:ascii="Times New Roman" w:hAnsi="Times New Roman"/>
          <w:color w:val="000000"/>
          <w:sz w:val="24"/>
          <w:szCs w:val="24"/>
        </w:rPr>
        <w:t xml:space="preserve">Penelitian ini </w:t>
      </w:r>
      <w:proofErr w:type="gramStart"/>
      <w:r w:rsidR="005932F0" w:rsidRPr="005932F0">
        <w:rPr>
          <w:rFonts w:ascii="Times New Roman" w:hAnsi="Times New Roman"/>
          <w:color w:val="000000"/>
          <w:sz w:val="24"/>
          <w:szCs w:val="24"/>
        </w:rPr>
        <w:t>akan</w:t>
      </w:r>
      <w:proofErr w:type="gramEnd"/>
      <w:r w:rsidR="005932F0" w:rsidRPr="005932F0">
        <w:rPr>
          <w:rFonts w:ascii="Times New Roman" w:hAnsi="Times New Roman"/>
          <w:color w:val="000000"/>
          <w:sz w:val="24"/>
          <w:szCs w:val="24"/>
        </w:rPr>
        <w:t xml:space="preserve"> mencari faktor – faktor yang mempengaruhi kualitas hidup pasien tinnitus meliputi usia, jenis kelamin, dan lokasi tinnitus. Sebelum dilakukan uji hipotesis komparatif, terlebih dahulu dilakukan uji normalitas data untuk menentukan uji komparatif yang </w:t>
      </w:r>
      <w:proofErr w:type="gramStart"/>
      <w:r w:rsidR="005932F0" w:rsidRPr="005932F0">
        <w:rPr>
          <w:rFonts w:ascii="Times New Roman" w:hAnsi="Times New Roman"/>
          <w:color w:val="000000"/>
          <w:sz w:val="24"/>
          <w:szCs w:val="24"/>
        </w:rPr>
        <w:t>akan</w:t>
      </w:r>
      <w:proofErr w:type="gramEnd"/>
      <w:r w:rsidR="005932F0" w:rsidRPr="005932F0">
        <w:rPr>
          <w:rFonts w:ascii="Times New Roman" w:hAnsi="Times New Roman"/>
          <w:color w:val="000000"/>
          <w:sz w:val="24"/>
          <w:szCs w:val="24"/>
        </w:rPr>
        <w:t xml:space="preserve"> digunakan selanjutnya.</w:t>
      </w:r>
    </w:p>
    <w:p w:rsidR="001B61ED" w:rsidRPr="005932F0" w:rsidRDefault="001B61ED" w:rsidP="005932F0">
      <w:pPr>
        <w:tabs>
          <w:tab w:val="left" w:pos="425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LightShading2"/>
        <w:tblW w:w="0" w:type="auto"/>
        <w:jc w:val="center"/>
        <w:tblInd w:w="558" w:type="dxa"/>
        <w:shd w:val="clear" w:color="auto" w:fill="FFFFFF" w:themeFill="background1"/>
        <w:tblLook w:val="04A0"/>
      </w:tblPr>
      <w:tblGrid>
        <w:gridCol w:w="3370"/>
        <w:gridCol w:w="3830"/>
      </w:tblGrid>
      <w:tr w:rsidR="005932F0" w:rsidTr="005C1239">
        <w:trPr>
          <w:cnfStyle w:val="100000000000"/>
          <w:trHeight w:val="566"/>
          <w:jc w:val="center"/>
        </w:trPr>
        <w:tc>
          <w:tcPr>
            <w:cnfStyle w:val="001000000000"/>
            <w:tcW w:w="3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932F0" w:rsidRPr="00266BDD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BDD">
              <w:rPr>
                <w:rFonts w:ascii="Times New Roman" w:hAnsi="Times New Roman"/>
                <w:color w:val="000000"/>
                <w:sz w:val="24"/>
                <w:szCs w:val="24"/>
              </w:rPr>
              <w:t>Variabel</w:t>
            </w:r>
          </w:p>
        </w:tc>
        <w:tc>
          <w:tcPr>
            <w:tcW w:w="3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932F0" w:rsidRPr="00266BDD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 Uji Normalitas (</w:t>
            </w:r>
            <w:r w:rsidRPr="004A72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Saphiro-Wilk</w:t>
            </w:r>
            <w:r w:rsidRPr="00266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932F0" w:rsidTr="005C1239">
        <w:trPr>
          <w:cnfStyle w:val="000000100000"/>
          <w:trHeight w:val="566"/>
          <w:jc w:val="center"/>
        </w:trPr>
        <w:tc>
          <w:tcPr>
            <w:cnfStyle w:val="001000000000"/>
            <w:tcW w:w="33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932F0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Kelompok </w:t>
            </w:r>
            <w:r w:rsidRPr="005E5FAD">
              <w:rPr>
                <w:rFonts w:ascii="Times New Roman" w:hAnsi="Times New Roman"/>
                <w:color w:val="000000"/>
                <w:sz w:val="24"/>
                <w:szCs w:val="24"/>
              </w:rPr>
              <w:t>Usia</w:t>
            </w:r>
          </w:p>
          <w:p w:rsidR="005932F0" w:rsidRPr="00CC4C4A" w:rsidRDefault="005932F0" w:rsidP="001B61ED">
            <w:pPr>
              <w:tabs>
                <w:tab w:val="left" w:pos="180"/>
                <w:tab w:val="left" w:pos="270"/>
                <w:tab w:val="left" w:pos="360"/>
                <w:tab w:val="left" w:pos="99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25-35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tahun</w:t>
            </w:r>
          </w:p>
          <w:p w:rsidR="005932F0" w:rsidRPr="00CC4C4A" w:rsidRDefault="005932F0" w:rsidP="001B61ED">
            <w:pPr>
              <w:tabs>
                <w:tab w:val="left" w:pos="180"/>
                <w:tab w:val="left" w:pos="270"/>
                <w:tab w:val="left" w:pos="360"/>
                <w:tab w:val="left" w:pos="99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36-45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tahun</w:t>
            </w:r>
          </w:p>
          <w:p w:rsidR="005932F0" w:rsidRPr="00CC4C4A" w:rsidRDefault="005932F0" w:rsidP="001B61ED">
            <w:pPr>
              <w:tabs>
                <w:tab w:val="left" w:pos="180"/>
                <w:tab w:val="left" w:pos="270"/>
                <w:tab w:val="left" w:pos="360"/>
                <w:tab w:val="left" w:pos="99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46-55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tahun</w:t>
            </w:r>
          </w:p>
          <w:p w:rsidR="005932F0" w:rsidRPr="005E5FAD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ind w:left="33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&gt;55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tahun</w:t>
            </w:r>
          </w:p>
        </w:tc>
        <w:tc>
          <w:tcPr>
            <w:tcW w:w="38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932F0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2F0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  <w:p w:rsidR="005932F0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0,019</w:t>
            </w:r>
          </w:p>
          <w:p w:rsidR="005932F0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0,029</w:t>
            </w:r>
          </w:p>
          <w:p w:rsidR="005932F0" w:rsidRPr="005E5FAD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0,062</w:t>
            </w:r>
          </w:p>
        </w:tc>
      </w:tr>
      <w:tr w:rsidR="005932F0" w:rsidTr="005C1239">
        <w:trPr>
          <w:trHeight w:val="566"/>
          <w:jc w:val="center"/>
        </w:trPr>
        <w:tc>
          <w:tcPr>
            <w:cnfStyle w:val="001000000000"/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2F0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FAD">
              <w:rPr>
                <w:rFonts w:ascii="Times New Roman" w:hAnsi="Times New Roman"/>
                <w:color w:val="000000"/>
                <w:sz w:val="24"/>
                <w:szCs w:val="24"/>
              </w:rPr>
              <w:t>Jenis Kelamin</w:t>
            </w:r>
          </w:p>
          <w:p w:rsidR="005932F0" w:rsidRPr="00CC4C4A" w:rsidRDefault="005932F0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Laki-laki</w:t>
            </w:r>
          </w:p>
          <w:p w:rsidR="005932F0" w:rsidRPr="005E5FAD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ind w:left="33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2F0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2F0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  <w:p w:rsidR="005932F0" w:rsidRPr="005E5FAD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0,010</w:t>
            </w:r>
          </w:p>
        </w:tc>
      </w:tr>
      <w:tr w:rsidR="005932F0" w:rsidTr="005C1239">
        <w:trPr>
          <w:cnfStyle w:val="000000100000"/>
          <w:trHeight w:val="551"/>
          <w:jc w:val="center"/>
        </w:trPr>
        <w:tc>
          <w:tcPr>
            <w:cnfStyle w:val="001000000000"/>
            <w:tcW w:w="3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932F0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FAD">
              <w:rPr>
                <w:rFonts w:ascii="Times New Roman" w:hAnsi="Times New Roman"/>
                <w:color w:val="000000"/>
                <w:sz w:val="24"/>
                <w:szCs w:val="24"/>
              </w:rPr>
              <w:t>Lokasi Tinnitus</w:t>
            </w:r>
          </w:p>
          <w:p w:rsidR="005932F0" w:rsidRPr="00CC4C4A" w:rsidRDefault="005932F0" w:rsidP="001B61ED">
            <w:pPr>
              <w:tabs>
                <w:tab w:val="left" w:pos="270"/>
                <w:tab w:val="left" w:pos="360"/>
                <w:tab w:val="left" w:pos="425"/>
                <w:tab w:val="left" w:pos="1440"/>
              </w:tabs>
              <w:spacing w:line="276" w:lineRule="auto"/>
              <w:ind w:left="36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Unilateral</w:t>
            </w:r>
          </w:p>
          <w:p w:rsidR="005932F0" w:rsidRPr="005E5FAD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ind w:left="33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C4C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Bilateral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932F0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2F0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  <w:p w:rsidR="005932F0" w:rsidRPr="005E5FAD" w:rsidRDefault="005932F0" w:rsidP="001B61ED">
            <w:pPr>
              <w:tabs>
                <w:tab w:val="left" w:pos="360"/>
                <w:tab w:val="left" w:pos="425"/>
              </w:tabs>
              <w:spacing w:line="276" w:lineRule="auto"/>
              <w:contextualSpacing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5932F0" w:rsidRDefault="005932F0" w:rsidP="005932F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932F0" w:rsidRDefault="005932F0" w:rsidP="001B61ED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1B61ED">
        <w:rPr>
          <w:rFonts w:ascii="Times New Roman" w:hAnsi="Times New Roman"/>
          <w:color w:val="000000"/>
          <w:sz w:val="24"/>
          <w:szCs w:val="24"/>
        </w:rPr>
        <w:t>Hasil uji normalitas dari ketiga variabel yang diteliti menunjukkan bahwa data tidak berdistribusi normal karena nilai p&lt;0</w:t>
      </w:r>
      <w:proofErr w:type="gramStart"/>
      <w:r w:rsidRPr="001B61ED">
        <w:rPr>
          <w:rFonts w:ascii="Times New Roman" w:hAnsi="Times New Roman"/>
          <w:color w:val="000000"/>
          <w:sz w:val="24"/>
          <w:szCs w:val="24"/>
        </w:rPr>
        <w:t>,05</w:t>
      </w:r>
      <w:proofErr w:type="gramEnd"/>
      <w:r w:rsidRPr="001B61ED">
        <w:rPr>
          <w:rFonts w:ascii="Times New Roman" w:hAnsi="Times New Roman"/>
          <w:color w:val="000000"/>
          <w:sz w:val="24"/>
          <w:szCs w:val="24"/>
        </w:rPr>
        <w:t>.</w:t>
      </w:r>
    </w:p>
    <w:p w:rsidR="001B61ED" w:rsidRDefault="001B61ED" w:rsidP="001B61ED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1B61ED" w:rsidRPr="001B61ED" w:rsidRDefault="001B61ED" w:rsidP="001B61ED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5932F0" w:rsidRDefault="005932F0" w:rsidP="005932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Pengaruh Faktor Usia, Jenis Kelamin dan Lokasi Tinnitus Terhadap Kualitas Hidup</w:t>
      </w:r>
    </w:p>
    <w:p w:rsidR="005932F0" w:rsidRPr="005932F0" w:rsidRDefault="005932F0" w:rsidP="001B61ED">
      <w:pPr>
        <w:tabs>
          <w:tab w:val="left" w:pos="270"/>
          <w:tab w:val="left" w:pos="360"/>
          <w:tab w:val="left" w:pos="425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932F0">
        <w:rPr>
          <w:rFonts w:ascii="Times New Roman" w:hAnsi="Times New Roman"/>
          <w:color w:val="000000"/>
          <w:sz w:val="24"/>
          <w:szCs w:val="24"/>
        </w:rPr>
        <w:t xml:space="preserve">Oleh karena distribusi data seluruh variabel tidak normal, maka dilakukan uji hipotesis yaitu uji </w:t>
      </w:r>
      <w:r w:rsidRPr="005932F0">
        <w:rPr>
          <w:rFonts w:ascii="Times New Roman" w:hAnsi="Times New Roman"/>
          <w:i/>
          <w:color w:val="000000"/>
          <w:sz w:val="24"/>
          <w:szCs w:val="24"/>
        </w:rPr>
        <w:t>Mann-Withney</w:t>
      </w:r>
      <w:r w:rsidRPr="005932F0">
        <w:rPr>
          <w:rFonts w:ascii="Times New Roman" w:hAnsi="Times New Roman"/>
          <w:color w:val="000000"/>
          <w:sz w:val="24"/>
          <w:szCs w:val="24"/>
        </w:rPr>
        <w:t xml:space="preserve"> untuk variabel jenis kelamin dan lokasi tinnitus, serta uji </w:t>
      </w:r>
      <w:r w:rsidRPr="005932F0">
        <w:rPr>
          <w:rFonts w:ascii="Times New Roman" w:hAnsi="Times New Roman"/>
          <w:i/>
          <w:color w:val="000000"/>
          <w:sz w:val="24"/>
          <w:szCs w:val="24"/>
        </w:rPr>
        <w:t>Kruskal-Wallis</w:t>
      </w:r>
      <w:r w:rsidRPr="005932F0">
        <w:rPr>
          <w:rFonts w:ascii="Times New Roman" w:hAnsi="Times New Roman"/>
          <w:color w:val="000000"/>
          <w:sz w:val="24"/>
          <w:szCs w:val="24"/>
        </w:rPr>
        <w:t xml:space="preserve"> untuk variabel </w:t>
      </w:r>
      <w:proofErr w:type="gramStart"/>
      <w:r w:rsidRPr="005932F0">
        <w:rPr>
          <w:rFonts w:ascii="Times New Roman" w:hAnsi="Times New Roman"/>
          <w:color w:val="000000"/>
          <w:sz w:val="24"/>
          <w:szCs w:val="24"/>
        </w:rPr>
        <w:t>usia</w:t>
      </w:r>
      <w:proofErr w:type="gramEnd"/>
      <w:r w:rsidRPr="005932F0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LightShading2"/>
        <w:tblW w:w="0" w:type="auto"/>
        <w:shd w:val="clear" w:color="auto" w:fill="FFFFFF" w:themeFill="background1"/>
        <w:tblLook w:val="04A0"/>
      </w:tblPr>
      <w:tblGrid>
        <w:gridCol w:w="4020"/>
        <w:gridCol w:w="4022"/>
      </w:tblGrid>
      <w:tr w:rsidR="005932F0" w:rsidTr="001B61ED">
        <w:trPr>
          <w:cnfStyle w:val="100000000000"/>
          <w:trHeight w:val="530"/>
        </w:trPr>
        <w:tc>
          <w:tcPr>
            <w:cnfStyle w:val="001000000000"/>
            <w:tcW w:w="4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932F0" w:rsidRPr="005932F0" w:rsidRDefault="005932F0" w:rsidP="001B61ED">
            <w:pPr>
              <w:tabs>
                <w:tab w:val="left" w:pos="270"/>
                <w:tab w:val="left" w:pos="360"/>
                <w:tab w:val="left" w:pos="425"/>
              </w:tabs>
              <w:spacing w:line="276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2F0">
              <w:rPr>
                <w:rFonts w:ascii="Times New Roman" w:hAnsi="Times New Roman"/>
                <w:color w:val="000000"/>
                <w:sz w:val="24"/>
                <w:szCs w:val="24"/>
              </w:rPr>
              <w:t>Variabel</w:t>
            </w:r>
          </w:p>
        </w:tc>
        <w:tc>
          <w:tcPr>
            <w:tcW w:w="4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932F0" w:rsidRPr="005932F0" w:rsidRDefault="005932F0" w:rsidP="001B61ED">
            <w:pPr>
              <w:tabs>
                <w:tab w:val="left" w:pos="270"/>
                <w:tab w:val="left" w:pos="360"/>
                <w:tab w:val="left" w:pos="425"/>
              </w:tabs>
              <w:spacing w:line="276" w:lineRule="auto"/>
              <w:ind w:left="360"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2F0">
              <w:rPr>
                <w:rFonts w:ascii="Times New Roman" w:hAnsi="Times New Roman"/>
                <w:color w:val="000000"/>
                <w:sz w:val="24"/>
                <w:szCs w:val="24"/>
              </w:rPr>
              <w:t>Nilai p</w:t>
            </w:r>
          </w:p>
        </w:tc>
      </w:tr>
      <w:tr w:rsidR="005932F0" w:rsidTr="001B61ED">
        <w:trPr>
          <w:cnfStyle w:val="000000100000"/>
          <w:trHeight w:val="530"/>
        </w:trPr>
        <w:tc>
          <w:tcPr>
            <w:cnfStyle w:val="001000000000"/>
            <w:tcW w:w="402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932F0" w:rsidRPr="005932F0" w:rsidRDefault="005932F0" w:rsidP="001B61ED">
            <w:pPr>
              <w:tabs>
                <w:tab w:val="left" w:pos="270"/>
                <w:tab w:val="left" w:pos="360"/>
                <w:tab w:val="left" w:pos="425"/>
              </w:tabs>
              <w:spacing w:line="276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2F0">
              <w:rPr>
                <w:rFonts w:ascii="Times New Roman" w:hAnsi="Times New Roman"/>
                <w:color w:val="000000"/>
                <w:sz w:val="24"/>
                <w:szCs w:val="24"/>
              </w:rPr>
              <w:t>Usia</w:t>
            </w:r>
          </w:p>
        </w:tc>
        <w:tc>
          <w:tcPr>
            <w:tcW w:w="402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932F0" w:rsidRPr="005932F0" w:rsidRDefault="005932F0" w:rsidP="001B61ED">
            <w:pPr>
              <w:tabs>
                <w:tab w:val="left" w:pos="270"/>
                <w:tab w:val="left" w:pos="360"/>
                <w:tab w:val="left" w:pos="425"/>
              </w:tabs>
              <w:spacing w:line="276" w:lineRule="auto"/>
              <w:ind w:left="360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2F0">
              <w:rPr>
                <w:rFonts w:ascii="Times New Roman" w:hAnsi="Times New Roman"/>
                <w:color w:val="000000"/>
                <w:sz w:val="24"/>
                <w:szCs w:val="24"/>
              </w:rPr>
              <w:t>0,957*</w:t>
            </w:r>
          </w:p>
        </w:tc>
      </w:tr>
      <w:tr w:rsidR="005932F0" w:rsidTr="001B61ED">
        <w:trPr>
          <w:trHeight w:val="530"/>
        </w:trPr>
        <w:tc>
          <w:tcPr>
            <w:cnfStyle w:val="001000000000"/>
            <w:tcW w:w="4020" w:type="dxa"/>
            <w:shd w:val="clear" w:color="auto" w:fill="FFFFFF" w:themeFill="background1"/>
          </w:tcPr>
          <w:p w:rsidR="005932F0" w:rsidRPr="005932F0" w:rsidRDefault="005932F0" w:rsidP="001B61ED">
            <w:pPr>
              <w:tabs>
                <w:tab w:val="left" w:pos="270"/>
                <w:tab w:val="left" w:pos="360"/>
                <w:tab w:val="left" w:pos="425"/>
              </w:tabs>
              <w:spacing w:line="276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2F0">
              <w:rPr>
                <w:rFonts w:ascii="Times New Roman" w:hAnsi="Times New Roman"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4022" w:type="dxa"/>
            <w:shd w:val="clear" w:color="auto" w:fill="FFFFFF" w:themeFill="background1"/>
          </w:tcPr>
          <w:p w:rsidR="005932F0" w:rsidRPr="005932F0" w:rsidRDefault="005932F0" w:rsidP="001B61ED">
            <w:pPr>
              <w:tabs>
                <w:tab w:val="left" w:pos="270"/>
                <w:tab w:val="left" w:pos="360"/>
                <w:tab w:val="left" w:pos="425"/>
              </w:tabs>
              <w:spacing w:line="276" w:lineRule="auto"/>
              <w:ind w:left="360"/>
              <w:jc w:val="center"/>
              <w:cnfStyle w:val="0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2F0">
              <w:rPr>
                <w:rFonts w:ascii="Times New Roman" w:hAnsi="Times New Roman"/>
                <w:color w:val="000000"/>
                <w:sz w:val="24"/>
                <w:szCs w:val="24"/>
              </w:rPr>
              <w:t>0,430**</w:t>
            </w:r>
          </w:p>
        </w:tc>
      </w:tr>
      <w:tr w:rsidR="005932F0" w:rsidTr="001B61ED">
        <w:trPr>
          <w:cnfStyle w:val="000000100000"/>
          <w:trHeight w:val="530"/>
        </w:trPr>
        <w:tc>
          <w:tcPr>
            <w:cnfStyle w:val="001000000000"/>
            <w:tcW w:w="40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932F0" w:rsidRPr="005932F0" w:rsidRDefault="005932F0" w:rsidP="001B61ED">
            <w:pPr>
              <w:tabs>
                <w:tab w:val="left" w:pos="270"/>
                <w:tab w:val="left" w:pos="360"/>
                <w:tab w:val="left" w:pos="425"/>
              </w:tabs>
              <w:spacing w:line="276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2F0">
              <w:rPr>
                <w:rFonts w:ascii="Times New Roman" w:hAnsi="Times New Roman"/>
                <w:color w:val="000000"/>
                <w:sz w:val="24"/>
                <w:szCs w:val="24"/>
              </w:rPr>
              <w:t>Lokasi Tinnitus</w:t>
            </w:r>
          </w:p>
        </w:tc>
        <w:tc>
          <w:tcPr>
            <w:tcW w:w="402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932F0" w:rsidRPr="005932F0" w:rsidRDefault="005932F0" w:rsidP="001B61ED">
            <w:pPr>
              <w:tabs>
                <w:tab w:val="left" w:pos="270"/>
                <w:tab w:val="left" w:pos="360"/>
                <w:tab w:val="left" w:pos="425"/>
              </w:tabs>
              <w:spacing w:line="276" w:lineRule="auto"/>
              <w:ind w:left="360"/>
              <w:jc w:val="center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2F0">
              <w:rPr>
                <w:rFonts w:ascii="Times New Roman" w:hAnsi="Times New Roman"/>
                <w:color w:val="000000"/>
                <w:sz w:val="24"/>
                <w:szCs w:val="24"/>
              </w:rPr>
              <w:t>0,631**</w:t>
            </w:r>
          </w:p>
        </w:tc>
      </w:tr>
    </w:tbl>
    <w:p w:rsidR="005932F0" w:rsidRPr="001B61ED" w:rsidRDefault="005932F0" w:rsidP="001B61ED">
      <w:pPr>
        <w:tabs>
          <w:tab w:val="left" w:pos="270"/>
          <w:tab w:val="left" w:pos="360"/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5932F0" w:rsidRPr="001B61ED" w:rsidRDefault="005932F0" w:rsidP="001B61ED">
      <w:pPr>
        <w:tabs>
          <w:tab w:val="left" w:pos="270"/>
          <w:tab w:val="left" w:pos="360"/>
          <w:tab w:val="left" w:pos="42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4"/>
        </w:rPr>
      </w:pPr>
      <w:proofErr w:type="gramStart"/>
      <w:r w:rsidRPr="001B61ED">
        <w:rPr>
          <w:rFonts w:ascii="Times New Roman" w:hAnsi="Times New Roman"/>
          <w:color w:val="000000"/>
          <w:sz w:val="20"/>
          <w:szCs w:val="24"/>
        </w:rPr>
        <w:t>Keterangan :</w:t>
      </w:r>
      <w:proofErr w:type="gramEnd"/>
    </w:p>
    <w:p w:rsidR="005932F0" w:rsidRPr="001B61ED" w:rsidRDefault="005932F0" w:rsidP="001B61ED">
      <w:pPr>
        <w:tabs>
          <w:tab w:val="left" w:pos="270"/>
          <w:tab w:val="left" w:pos="360"/>
          <w:tab w:val="left" w:pos="42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4"/>
        </w:rPr>
      </w:pPr>
      <w:r w:rsidRPr="001B61ED">
        <w:rPr>
          <w:rFonts w:ascii="Times New Roman" w:hAnsi="Times New Roman"/>
          <w:color w:val="000000"/>
          <w:sz w:val="20"/>
          <w:szCs w:val="24"/>
        </w:rPr>
        <w:t xml:space="preserve">*Hasil uji </w:t>
      </w:r>
      <w:r w:rsidRPr="001B61ED">
        <w:rPr>
          <w:rFonts w:ascii="Times New Roman" w:hAnsi="Times New Roman"/>
          <w:i/>
          <w:color w:val="000000"/>
          <w:sz w:val="20"/>
          <w:szCs w:val="24"/>
        </w:rPr>
        <w:t>Kruskal-Wallis</w:t>
      </w:r>
    </w:p>
    <w:p w:rsidR="005932F0" w:rsidRPr="001B61ED" w:rsidRDefault="005932F0" w:rsidP="001B61ED">
      <w:pPr>
        <w:tabs>
          <w:tab w:val="left" w:pos="270"/>
          <w:tab w:val="left" w:pos="360"/>
          <w:tab w:val="left" w:pos="42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4"/>
        </w:rPr>
      </w:pPr>
      <w:r w:rsidRPr="001B61ED">
        <w:rPr>
          <w:rFonts w:ascii="Times New Roman" w:hAnsi="Times New Roman"/>
          <w:color w:val="000000"/>
          <w:sz w:val="20"/>
          <w:szCs w:val="24"/>
        </w:rPr>
        <w:t xml:space="preserve">**Hasil uji </w:t>
      </w:r>
      <w:r w:rsidRPr="001B61ED">
        <w:rPr>
          <w:rFonts w:ascii="Times New Roman" w:hAnsi="Times New Roman"/>
          <w:i/>
          <w:color w:val="000000"/>
          <w:sz w:val="20"/>
          <w:szCs w:val="24"/>
        </w:rPr>
        <w:t>Mann-Withney</w:t>
      </w:r>
    </w:p>
    <w:p w:rsidR="001B61ED" w:rsidRDefault="005932F0" w:rsidP="001B61ED">
      <w:pPr>
        <w:tabs>
          <w:tab w:val="left" w:pos="270"/>
          <w:tab w:val="left" w:pos="360"/>
          <w:tab w:val="left" w:pos="42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932F0" w:rsidRPr="005932F0" w:rsidRDefault="001B61ED" w:rsidP="001B61ED">
      <w:pPr>
        <w:tabs>
          <w:tab w:val="left" w:pos="270"/>
          <w:tab w:val="left" w:pos="360"/>
          <w:tab w:val="left" w:pos="42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32F0" w:rsidRPr="005932F0">
        <w:rPr>
          <w:rFonts w:ascii="Times New Roman" w:hAnsi="Times New Roman"/>
          <w:sz w:val="24"/>
          <w:szCs w:val="24"/>
        </w:rPr>
        <w:t xml:space="preserve">Uji </w:t>
      </w:r>
      <w:r w:rsidR="005932F0" w:rsidRPr="005932F0">
        <w:rPr>
          <w:rFonts w:ascii="Times New Roman" w:hAnsi="Times New Roman"/>
          <w:i/>
          <w:sz w:val="24"/>
          <w:szCs w:val="24"/>
        </w:rPr>
        <w:t>Kruskal-Wallis</w:t>
      </w:r>
      <w:r w:rsidR="005932F0" w:rsidRPr="005932F0">
        <w:rPr>
          <w:rFonts w:ascii="Times New Roman" w:hAnsi="Times New Roman"/>
          <w:sz w:val="24"/>
          <w:szCs w:val="24"/>
        </w:rPr>
        <w:t xml:space="preserve"> untuk melihat pengaruh </w:t>
      </w:r>
      <w:proofErr w:type="gramStart"/>
      <w:r w:rsidR="005932F0" w:rsidRPr="005932F0">
        <w:rPr>
          <w:rFonts w:ascii="Times New Roman" w:hAnsi="Times New Roman"/>
          <w:sz w:val="24"/>
          <w:szCs w:val="24"/>
        </w:rPr>
        <w:t>usia</w:t>
      </w:r>
      <w:proofErr w:type="gramEnd"/>
      <w:r w:rsidR="005932F0" w:rsidRPr="005932F0">
        <w:rPr>
          <w:rFonts w:ascii="Times New Roman" w:hAnsi="Times New Roman"/>
          <w:sz w:val="24"/>
          <w:szCs w:val="24"/>
        </w:rPr>
        <w:t xml:space="preserve"> terhadap kualitas hidup memberikan nilai p = 0.957. Oleh karena nilai p &gt; 0</w:t>
      </w:r>
      <w:proofErr w:type="gramStart"/>
      <w:r w:rsidR="005932F0" w:rsidRPr="005932F0">
        <w:rPr>
          <w:rFonts w:ascii="Times New Roman" w:hAnsi="Times New Roman"/>
          <w:sz w:val="24"/>
          <w:szCs w:val="24"/>
        </w:rPr>
        <w:t>,05</w:t>
      </w:r>
      <w:proofErr w:type="gramEnd"/>
      <w:r w:rsidR="005932F0" w:rsidRPr="005932F0">
        <w:rPr>
          <w:rFonts w:ascii="Times New Roman" w:hAnsi="Times New Roman"/>
          <w:sz w:val="24"/>
          <w:szCs w:val="24"/>
        </w:rPr>
        <w:t>, ini berarti tidak terdapat perbedaan derajat tinnitus yang signifikan pada keempat kelompok usia.</w:t>
      </w:r>
    </w:p>
    <w:p w:rsidR="005932F0" w:rsidRPr="005932F0" w:rsidRDefault="005932F0" w:rsidP="005932F0">
      <w:pPr>
        <w:tabs>
          <w:tab w:val="left" w:pos="270"/>
          <w:tab w:val="left" w:pos="360"/>
          <w:tab w:val="left" w:pos="42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61ED">
        <w:rPr>
          <w:rFonts w:ascii="Times New Roman" w:hAnsi="Times New Roman"/>
          <w:sz w:val="24"/>
          <w:szCs w:val="24"/>
        </w:rPr>
        <w:tab/>
      </w:r>
      <w:r w:rsidRPr="005932F0">
        <w:rPr>
          <w:rFonts w:ascii="Times New Roman" w:hAnsi="Times New Roman"/>
          <w:sz w:val="24"/>
          <w:szCs w:val="24"/>
        </w:rPr>
        <w:t xml:space="preserve">Hasil uji </w:t>
      </w:r>
      <w:r w:rsidRPr="005932F0">
        <w:rPr>
          <w:rFonts w:ascii="Times New Roman" w:hAnsi="Times New Roman"/>
          <w:i/>
          <w:sz w:val="24"/>
          <w:szCs w:val="24"/>
        </w:rPr>
        <w:t>Mann-Withney</w:t>
      </w:r>
      <w:r w:rsidRPr="005932F0">
        <w:rPr>
          <w:rFonts w:ascii="Times New Roman" w:hAnsi="Times New Roman"/>
          <w:sz w:val="24"/>
          <w:szCs w:val="24"/>
        </w:rPr>
        <w:t xml:space="preserve"> untuk melihat pengaruh jenis kelamin terhadap kualitas hidup, diperoleh nilai p = 0,430. Hal ini berarti nilai p &gt; 0</w:t>
      </w:r>
      <w:proofErr w:type="gramStart"/>
      <w:r w:rsidRPr="005932F0">
        <w:rPr>
          <w:rFonts w:ascii="Times New Roman" w:hAnsi="Times New Roman"/>
          <w:sz w:val="24"/>
          <w:szCs w:val="24"/>
        </w:rPr>
        <w:t>,05</w:t>
      </w:r>
      <w:proofErr w:type="gramEnd"/>
      <w:r w:rsidRPr="005932F0">
        <w:rPr>
          <w:rFonts w:ascii="Times New Roman" w:hAnsi="Times New Roman"/>
          <w:sz w:val="24"/>
          <w:szCs w:val="24"/>
        </w:rPr>
        <w:t xml:space="preserve"> sehingga dapat disimpulkan bahwa tidak ada perbedaan bermakna antara derajat tinnitus pada responden laki-laki dan derajat tinnitus pada responden perempuan.</w:t>
      </w:r>
    </w:p>
    <w:p w:rsidR="001B61ED" w:rsidRDefault="005932F0" w:rsidP="00017F30">
      <w:pPr>
        <w:tabs>
          <w:tab w:val="left" w:pos="425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32F0">
        <w:rPr>
          <w:rFonts w:ascii="Times New Roman" w:hAnsi="Times New Roman"/>
          <w:sz w:val="24"/>
          <w:szCs w:val="24"/>
        </w:rPr>
        <w:t xml:space="preserve">Hasil uji </w:t>
      </w:r>
      <w:r w:rsidRPr="005932F0">
        <w:rPr>
          <w:rFonts w:ascii="Times New Roman" w:hAnsi="Times New Roman"/>
          <w:i/>
          <w:sz w:val="24"/>
          <w:szCs w:val="24"/>
        </w:rPr>
        <w:t>Mann-Withney</w:t>
      </w:r>
      <w:r w:rsidRPr="005932F0">
        <w:rPr>
          <w:rFonts w:ascii="Times New Roman" w:hAnsi="Times New Roman"/>
          <w:sz w:val="24"/>
          <w:szCs w:val="24"/>
        </w:rPr>
        <w:t xml:space="preserve"> derajat tinnitus berdasarkan lokasi tinnitus, didapatkan nilai p = 0,631. Uji </w:t>
      </w:r>
      <w:r w:rsidRPr="005932F0">
        <w:rPr>
          <w:rFonts w:ascii="Times New Roman" w:hAnsi="Times New Roman"/>
          <w:i/>
          <w:sz w:val="24"/>
          <w:szCs w:val="24"/>
        </w:rPr>
        <w:t>Mann-Withney</w:t>
      </w:r>
      <w:r w:rsidRPr="005932F0">
        <w:rPr>
          <w:rFonts w:ascii="Times New Roman" w:hAnsi="Times New Roman"/>
          <w:sz w:val="24"/>
          <w:szCs w:val="24"/>
        </w:rPr>
        <w:t xml:space="preserve"> tersebut menunjukkan nilai   p &gt; 0</w:t>
      </w:r>
      <w:proofErr w:type="gramStart"/>
      <w:r w:rsidRPr="005932F0">
        <w:rPr>
          <w:rFonts w:ascii="Times New Roman" w:hAnsi="Times New Roman"/>
          <w:sz w:val="24"/>
          <w:szCs w:val="24"/>
        </w:rPr>
        <w:t>,05</w:t>
      </w:r>
      <w:proofErr w:type="gramEnd"/>
      <w:r w:rsidRPr="005932F0">
        <w:rPr>
          <w:rFonts w:ascii="Times New Roman" w:hAnsi="Times New Roman"/>
          <w:sz w:val="24"/>
          <w:szCs w:val="24"/>
        </w:rPr>
        <w:t xml:space="preserve"> sehingga dapat disimpulkan bahwa tidak ada perbedaan bermakna antara </w:t>
      </w:r>
      <w:r w:rsidRPr="005932F0">
        <w:rPr>
          <w:rFonts w:ascii="Times New Roman" w:hAnsi="Times New Roman"/>
          <w:sz w:val="24"/>
          <w:szCs w:val="24"/>
        </w:rPr>
        <w:lastRenderedPageBreak/>
        <w:t>derajat tinnitus pada responden dengan tinnitus unilateral dengan derajat tinnitus pada responden dengan tinnitus bilateral.</w:t>
      </w:r>
    </w:p>
    <w:p w:rsidR="00017F30" w:rsidRPr="005932F0" w:rsidRDefault="00017F30" w:rsidP="00017F30">
      <w:pPr>
        <w:tabs>
          <w:tab w:val="left" w:pos="425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32F0" w:rsidRDefault="001177EB" w:rsidP="005932F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KESIMPULAN</w:t>
      </w:r>
    </w:p>
    <w:p w:rsidR="00D812E1" w:rsidRDefault="005932F0" w:rsidP="005932F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Berdasarkan hasil penelitian yang dilakukan, maka dapat disimpulkan bahwa tidak ada pengaruh faktor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usia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jenis kelamin dan lokasi tinnitus terhadap kualitas hidup pasien tinnitus di poli THT RSU Provinsi NTB.</w:t>
      </w:r>
    </w:p>
    <w:p w:rsidR="005932F0" w:rsidRDefault="005932F0" w:rsidP="00575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32F0" w:rsidRDefault="005932F0" w:rsidP="005932F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SARAN</w:t>
      </w:r>
    </w:p>
    <w:p w:rsidR="0057505B" w:rsidRDefault="0057505B" w:rsidP="0057505B">
      <w:pPr>
        <w:pStyle w:val="ListParagraph"/>
        <w:numPr>
          <w:ilvl w:val="0"/>
          <w:numId w:val="32"/>
        </w:numPr>
        <w:tabs>
          <w:tab w:val="left" w:pos="425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69D">
        <w:rPr>
          <w:rFonts w:ascii="Times New Roman" w:hAnsi="Times New Roman" w:cs="Times New Roman"/>
          <w:color w:val="000000"/>
          <w:sz w:val="24"/>
          <w:szCs w:val="24"/>
        </w:rPr>
        <w:t>Perlu dilakuk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penelitian serupa dengan </w:t>
      </w:r>
      <w:r w:rsidRPr="0093669D">
        <w:rPr>
          <w:rFonts w:ascii="Times New Roman" w:hAnsi="Times New Roman" w:cs="Times New Roman"/>
          <w:color w:val="000000"/>
          <w:sz w:val="24"/>
          <w:szCs w:val="24"/>
        </w:rPr>
        <w:t xml:space="preserve">jumlah sampel yang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lebih </w:t>
      </w:r>
      <w:r w:rsidRPr="0093669D">
        <w:rPr>
          <w:rFonts w:ascii="Times New Roman" w:hAnsi="Times New Roman" w:cs="Times New Roman"/>
          <w:color w:val="000000"/>
          <w:sz w:val="24"/>
          <w:szCs w:val="24"/>
        </w:rPr>
        <w:t>memadai agar dapat mencari faktor - faktor lain yang mempengaruhi kualitas hidup pasien tinnitus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berupa faktor durasi tinnitus, penurunan pendengaran, kekerasan tinnitus, dan onset tinnitus.</w:t>
      </w:r>
    </w:p>
    <w:p w:rsidR="0057505B" w:rsidRPr="0093669D" w:rsidRDefault="0057505B" w:rsidP="0057505B">
      <w:pPr>
        <w:pStyle w:val="ListParagraph"/>
        <w:numPr>
          <w:ilvl w:val="0"/>
          <w:numId w:val="32"/>
        </w:numPr>
        <w:tabs>
          <w:tab w:val="left" w:pos="425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Perlu dilakukan pemeriksaan dengan audiometer utuk menyeragamkan jenis tinnitus yang dialami oleh sampel.</w:t>
      </w:r>
    </w:p>
    <w:p w:rsidR="0057505B" w:rsidRPr="005932F0" w:rsidRDefault="0057505B" w:rsidP="005750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7146C" w:rsidRPr="002A7D74" w:rsidRDefault="0097146C" w:rsidP="0054051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D74">
        <w:rPr>
          <w:rFonts w:ascii="Times New Roman" w:hAnsi="Times New Roman"/>
          <w:b/>
          <w:sz w:val="24"/>
          <w:szCs w:val="24"/>
        </w:rPr>
        <w:lastRenderedPageBreak/>
        <w:t>D</w:t>
      </w:r>
      <w:r w:rsidRPr="002A7D74">
        <w:rPr>
          <w:rFonts w:ascii="Times New Roman" w:hAnsi="Times New Roman"/>
          <w:b/>
          <w:sz w:val="24"/>
          <w:szCs w:val="24"/>
          <w:lang w:val="id-ID"/>
        </w:rPr>
        <w:t>AFTAR PUSTAKA</w:t>
      </w: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46" w:hanging="4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Baloh</w:t>
      </w:r>
      <w:proofErr w:type="gramStart"/>
      <w:r>
        <w:rPr>
          <w:rFonts w:ascii="Times New Roman" w:hAnsi="Times New Roman"/>
          <w:sz w:val="24"/>
          <w:szCs w:val="24"/>
        </w:rPr>
        <w:t>,R.W</w:t>
      </w:r>
      <w:proofErr w:type="gramEnd"/>
      <w:r>
        <w:rPr>
          <w:rFonts w:ascii="Times New Roman" w:hAnsi="Times New Roman"/>
          <w:sz w:val="24"/>
          <w:szCs w:val="24"/>
        </w:rPr>
        <w:t>. (2007). ‘Hearing and Equilibrium’, dalam Goldman dan Ausiello (ed</w:t>
      </w:r>
      <w:proofErr w:type="gramStart"/>
      <w:r>
        <w:rPr>
          <w:rFonts w:ascii="Times New Roman" w:hAnsi="Times New Roman"/>
          <w:sz w:val="24"/>
          <w:szCs w:val="24"/>
        </w:rPr>
        <w:t>)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B073B">
        <w:rPr>
          <w:rFonts w:ascii="Times New Roman" w:hAnsi="Times New Roman"/>
          <w:i/>
          <w:sz w:val="24"/>
          <w:szCs w:val="24"/>
        </w:rPr>
        <w:t>Cecil Medicine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23</w:t>
      </w:r>
      <w:r w:rsidRPr="00380AC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edition, Philadelphia, Saunders Elsevier.</w:t>
      </w:r>
      <w:proofErr w:type="gramEnd"/>
    </w:p>
    <w:p w:rsidR="002F431F" w:rsidRPr="00AC58DE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46" w:hanging="446"/>
        <w:contextualSpacing/>
        <w:jc w:val="both"/>
        <w:rPr>
          <w:rFonts w:ascii="Times New Roman" w:hAnsi="Times New Roman"/>
          <w:sz w:val="24"/>
          <w:szCs w:val="24"/>
        </w:rPr>
      </w:pP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46" w:hanging="44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Bartes, H. (2008). </w:t>
      </w:r>
      <w:proofErr w:type="gramStart"/>
      <w:r w:rsidRPr="002B073B">
        <w:rPr>
          <w:rFonts w:ascii="Times New Roman" w:hAnsi="Times New Roman"/>
          <w:bCs/>
          <w:i/>
          <w:sz w:val="24"/>
          <w:szCs w:val="24"/>
        </w:rPr>
        <w:t>Tinnitus :</w:t>
      </w:r>
      <w:proofErr w:type="gramEnd"/>
      <w:r w:rsidRPr="002B073B">
        <w:rPr>
          <w:rFonts w:ascii="Times New Roman" w:hAnsi="Times New Roman"/>
          <w:bCs/>
          <w:i/>
          <w:sz w:val="24"/>
          <w:szCs w:val="24"/>
        </w:rPr>
        <w:t xml:space="preserve"> New Insight of Pathophysiology, Diagnosis and Treatment</w:t>
      </w:r>
      <w:r>
        <w:rPr>
          <w:rFonts w:ascii="Times New Roman" w:hAnsi="Times New Roman"/>
          <w:bCs/>
          <w:sz w:val="24"/>
          <w:szCs w:val="24"/>
        </w:rPr>
        <w:t>, Jerman, Universitas Groningen.</w:t>
      </w: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46" w:hanging="44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46" w:hanging="4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Celik, N.</w:t>
      </w:r>
      <w:r w:rsidRPr="00E500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Bajin, M. D., Aksoy, S</w:t>
      </w:r>
      <w:r w:rsidRPr="00E50042">
        <w:rPr>
          <w:rFonts w:ascii="Times New Roman" w:hAnsi="Times New Roman"/>
          <w:sz w:val="24"/>
          <w:szCs w:val="24"/>
        </w:rPr>
        <w:t xml:space="preserve">. (2009). </w:t>
      </w:r>
      <w:proofErr w:type="gramStart"/>
      <w:r w:rsidRPr="00E50042">
        <w:rPr>
          <w:rFonts w:ascii="Times New Roman" w:hAnsi="Times New Roman"/>
          <w:sz w:val="24"/>
          <w:szCs w:val="24"/>
        </w:rPr>
        <w:t xml:space="preserve">Tinnitus Incidence and Characteristics in children with Hearing Lost’, </w:t>
      </w:r>
      <w:r w:rsidRPr="00E50042">
        <w:rPr>
          <w:rFonts w:ascii="Times New Roman" w:hAnsi="Times New Roman"/>
          <w:i/>
          <w:sz w:val="24"/>
          <w:szCs w:val="24"/>
        </w:rPr>
        <w:t>The Journal of Advance Otology; 5</w:t>
      </w:r>
      <w:r w:rsidRPr="00E50042">
        <w:rPr>
          <w:rFonts w:ascii="Times New Roman" w:hAnsi="Times New Roman"/>
          <w:sz w:val="24"/>
          <w:szCs w:val="24"/>
        </w:rPr>
        <w:t>, pp. 365-369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46" w:hanging="446"/>
        <w:contextualSpacing/>
        <w:jc w:val="both"/>
        <w:rPr>
          <w:rFonts w:ascii="Times New Roman" w:hAnsi="Times New Roman"/>
          <w:sz w:val="24"/>
          <w:szCs w:val="24"/>
        </w:rPr>
      </w:pPr>
    </w:p>
    <w:p w:rsidR="002F431F" w:rsidRPr="0053216E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46" w:hanging="4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Crummer, R.W., Hassan, G. A. (2004). ‘Diagnostic Approach to Tinnitus’, </w:t>
      </w:r>
      <w:r>
        <w:rPr>
          <w:rFonts w:ascii="Times New Roman" w:hAnsi="Times New Roman"/>
          <w:i/>
          <w:sz w:val="24"/>
          <w:szCs w:val="24"/>
        </w:rPr>
        <w:t>American Family Physician</w:t>
      </w:r>
      <w:proofErr w:type="gramStart"/>
      <w:r>
        <w:rPr>
          <w:rFonts w:ascii="Times New Roman" w:hAnsi="Times New Roman"/>
          <w:i/>
          <w:sz w:val="24"/>
          <w:szCs w:val="24"/>
        </w:rPr>
        <w:t>,vol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69 (1), </w:t>
      </w:r>
      <w:r>
        <w:rPr>
          <w:rFonts w:ascii="Times New Roman" w:hAnsi="Times New Roman"/>
          <w:sz w:val="24"/>
          <w:szCs w:val="24"/>
        </w:rPr>
        <w:t>pp. 120-127.</w:t>
      </w: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46" w:hanging="44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Golz, A.</w:t>
      </w:r>
      <w:r w:rsidRPr="003166A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Fradish, M., Netzer, A.,</w:t>
      </w:r>
      <w:r w:rsidRPr="003166A1">
        <w:rPr>
          <w:rFonts w:ascii="Times New Roman" w:hAnsi="Times New Roman"/>
          <w:bCs/>
          <w:sz w:val="24"/>
          <w:szCs w:val="24"/>
        </w:rPr>
        <w:t xml:space="preserve"> et al. (2003).</w:t>
      </w:r>
      <w:proofErr w:type="gramEnd"/>
      <w:r w:rsidRPr="003166A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166A1">
        <w:rPr>
          <w:rFonts w:ascii="Times New Roman" w:hAnsi="Times New Roman"/>
          <w:bCs/>
          <w:sz w:val="24"/>
          <w:szCs w:val="24"/>
        </w:rPr>
        <w:t xml:space="preserve">‘Bilateral Tinnitus due to Middle Ear Mioclonus’, </w:t>
      </w:r>
      <w:r w:rsidRPr="002F175E">
        <w:rPr>
          <w:rFonts w:ascii="Times New Roman" w:hAnsi="Times New Roman"/>
          <w:bCs/>
          <w:i/>
          <w:sz w:val="24"/>
          <w:szCs w:val="24"/>
        </w:rPr>
        <w:t>International Tinnitus Journal, vol 9</w:t>
      </w:r>
      <w:r w:rsidRPr="003166A1">
        <w:rPr>
          <w:rFonts w:ascii="Times New Roman" w:hAnsi="Times New Roman"/>
          <w:bCs/>
          <w:sz w:val="24"/>
          <w:szCs w:val="24"/>
        </w:rPr>
        <w:t>, pp. 52-55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F431F" w:rsidRPr="00383F11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Henry, J. A., Dennis, K.C., Schechter, M. A. (2005). ‘General Review of Tinnitus: Prevalence, Mechanism, Effect, and Management’, </w:t>
      </w:r>
      <w:r w:rsidRPr="001A7F08">
        <w:rPr>
          <w:rFonts w:ascii="Times New Roman" w:hAnsi="Times New Roman"/>
          <w:i/>
          <w:sz w:val="24"/>
          <w:szCs w:val="24"/>
        </w:rPr>
        <w:t>Journal of Speech, Language, Hearing Research</w:t>
      </w:r>
      <w:r>
        <w:rPr>
          <w:rFonts w:ascii="Times New Roman" w:hAnsi="Times New Roman"/>
          <w:sz w:val="24"/>
          <w:szCs w:val="24"/>
        </w:rPr>
        <w:t>; 48, pp. 1204-1235.</w:t>
      </w: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Lee, S. Y., Kim, J. H., Hong, S. H., et al</w:t>
      </w:r>
      <w:r w:rsidRPr="00E23B4D">
        <w:rPr>
          <w:rFonts w:ascii="Times New Roman" w:hAnsi="Times New Roman"/>
          <w:bCs/>
          <w:sz w:val="24"/>
          <w:szCs w:val="24"/>
        </w:rPr>
        <w:t xml:space="preserve">. (2004). </w:t>
      </w:r>
      <w:proofErr w:type="gramStart"/>
      <w:r w:rsidRPr="00E23B4D">
        <w:rPr>
          <w:rFonts w:ascii="Times New Roman" w:hAnsi="Times New Roman"/>
          <w:bCs/>
          <w:sz w:val="24"/>
          <w:szCs w:val="24"/>
        </w:rPr>
        <w:t xml:space="preserve">‘Roles of Cognitive Characteristic in Tinnitus Patient’, </w:t>
      </w:r>
      <w:r w:rsidRPr="002B073B">
        <w:rPr>
          <w:rFonts w:ascii="Times New Roman" w:hAnsi="Times New Roman"/>
          <w:bCs/>
          <w:i/>
          <w:sz w:val="24"/>
          <w:szCs w:val="24"/>
        </w:rPr>
        <w:t>Journal of Korean Medical Science</w:t>
      </w:r>
      <w:r>
        <w:rPr>
          <w:rFonts w:ascii="Times New Roman" w:hAnsi="Times New Roman"/>
          <w:bCs/>
          <w:sz w:val="24"/>
          <w:szCs w:val="24"/>
        </w:rPr>
        <w:t>, vol</w:t>
      </w:r>
      <w:r w:rsidRPr="00E23B4D">
        <w:rPr>
          <w:rFonts w:ascii="Times New Roman" w:hAnsi="Times New Roman"/>
          <w:bCs/>
          <w:sz w:val="24"/>
          <w:szCs w:val="24"/>
        </w:rPr>
        <w:t xml:space="preserve"> 19, pp. 864-868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Lim J.J.</w:t>
      </w:r>
      <w:r w:rsidRPr="002B073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Lu, P. K., Koh, D. S.</w:t>
      </w:r>
      <w:proofErr w:type="gramStart"/>
      <w:r>
        <w:rPr>
          <w:rFonts w:ascii="Times New Roman" w:hAnsi="Times New Roman"/>
          <w:bCs/>
          <w:sz w:val="24"/>
          <w:szCs w:val="24"/>
        </w:rPr>
        <w:t>,</w:t>
      </w:r>
      <w:r w:rsidRPr="002B07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073B">
        <w:rPr>
          <w:rFonts w:ascii="Times New Roman" w:hAnsi="Times New Roman"/>
          <w:bCs/>
          <w:sz w:val="24"/>
          <w:szCs w:val="24"/>
        </w:rPr>
        <w:t>et</w:t>
      </w:r>
      <w:proofErr w:type="gramEnd"/>
      <w:r w:rsidRPr="002B073B">
        <w:rPr>
          <w:rFonts w:ascii="Times New Roman" w:hAnsi="Times New Roman"/>
          <w:bCs/>
          <w:sz w:val="24"/>
          <w:szCs w:val="24"/>
        </w:rPr>
        <w:t xml:space="preserve"> al. (2010), ‘</w:t>
      </w:r>
      <w:r w:rsidRPr="00275D14">
        <w:rPr>
          <w:rFonts w:ascii="Times New Roman" w:hAnsi="Times New Roman"/>
          <w:bCs/>
          <w:sz w:val="24"/>
          <w:szCs w:val="24"/>
        </w:rPr>
        <w:t xml:space="preserve">Impact of  Tinnitus as Measured by The Tinnitus </w:t>
      </w:r>
      <w:r w:rsidRPr="002B073B">
        <w:rPr>
          <w:rFonts w:ascii="Times New Roman" w:hAnsi="Times New Roman"/>
          <w:bCs/>
          <w:sz w:val="24"/>
          <w:szCs w:val="24"/>
        </w:rPr>
        <w:t xml:space="preserve">Handicap Inventory Among Tinnitus Sufferers in Singapore’, </w:t>
      </w:r>
      <w:r w:rsidRPr="002B073B">
        <w:rPr>
          <w:rFonts w:ascii="Times New Roman" w:hAnsi="Times New Roman"/>
          <w:bCs/>
          <w:i/>
          <w:sz w:val="24"/>
          <w:szCs w:val="24"/>
        </w:rPr>
        <w:t>Singapore Med J</w:t>
      </w:r>
      <w:r w:rsidRPr="002B073B">
        <w:rPr>
          <w:rFonts w:ascii="Times New Roman" w:hAnsi="Times New Roman"/>
          <w:bCs/>
          <w:sz w:val="24"/>
          <w:szCs w:val="24"/>
        </w:rPr>
        <w:t>; 51(7), pp. 551-557.</w:t>
      </w:r>
    </w:p>
    <w:p w:rsidR="002F431F" w:rsidRPr="002B073B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Malakouti, S. K., Nojomi, M., Mahmoudian, S., et al. (2011</w:t>
      </w:r>
      <w:r w:rsidRPr="00206EFF">
        <w:rPr>
          <w:rFonts w:ascii="Times New Roman" w:hAnsi="Times New Roman"/>
          <w:bCs/>
          <w:sz w:val="24"/>
          <w:szCs w:val="24"/>
        </w:rPr>
        <w:t>).</w:t>
      </w:r>
      <w:proofErr w:type="gramEnd"/>
      <w:r w:rsidRPr="00206EF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6EFF">
        <w:rPr>
          <w:rFonts w:ascii="Times New Roman" w:hAnsi="Times New Roman"/>
          <w:bCs/>
          <w:sz w:val="24"/>
          <w:szCs w:val="24"/>
        </w:rPr>
        <w:t>‘</w:t>
      </w:r>
      <w:r>
        <w:rPr>
          <w:rFonts w:ascii="Times New Roman" w:hAnsi="Times New Roman"/>
          <w:bCs/>
          <w:sz w:val="24"/>
          <w:szCs w:val="24"/>
        </w:rPr>
        <w:t>Comorbidity of Chronic Tinnitus and Mental Disorder</w:t>
      </w:r>
      <w:r w:rsidRPr="00206EFF">
        <w:rPr>
          <w:rFonts w:ascii="Times New Roman" w:hAnsi="Times New Roman"/>
          <w:bCs/>
          <w:sz w:val="24"/>
          <w:szCs w:val="24"/>
        </w:rPr>
        <w:t xml:space="preserve">’, </w:t>
      </w:r>
      <w:r w:rsidRPr="00206EFF">
        <w:rPr>
          <w:rFonts w:ascii="Times New Roman" w:hAnsi="Times New Roman"/>
          <w:bCs/>
          <w:i/>
          <w:sz w:val="24"/>
          <w:szCs w:val="24"/>
        </w:rPr>
        <w:t>International Tinnitus Journal</w:t>
      </w:r>
      <w:r>
        <w:rPr>
          <w:rFonts w:ascii="Times New Roman" w:hAnsi="Times New Roman"/>
          <w:bCs/>
          <w:sz w:val="24"/>
          <w:szCs w:val="24"/>
        </w:rPr>
        <w:t>, vol 16 (2), pp. 118-122.</w:t>
      </w:r>
      <w:proofErr w:type="gramEnd"/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Martines, F.</w:t>
      </w:r>
      <w:r w:rsidRPr="00CF648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Bentivegna, D., Piazza, F. D.,</w:t>
      </w:r>
      <w:r w:rsidRPr="00CF6488">
        <w:rPr>
          <w:rFonts w:ascii="Times New Roman" w:hAnsi="Times New Roman"/>
          <w:bCs/>
          <w:sz w:val="24"/>
          <w:szCs w:val="24"/>
        </w:rPr>
        <w:t xml:space="preserve"> et al. (2010).</w:t>
      </w:r>
      <w:proofErr w:type="gramEnd"/>
      <w:r w:rsidRPr="00CF6488">
        <w:rPr>
          <w:rFonts w:ascii="Times New Roman" w:hAnsi="Times New Roman"/>
          <w:bCs/>
          <w:sz w:val="24"/>
          <w:szCs w:val="24"/>
        </w:rPr>
        <w:t xml:space="preserve"> ‘Investigation of Tinnitus Patients in </w:t>
      </w:r>
      <w:proofErr w:type="gramStart"/>
      <w:r w:rsidRPr="00CF6488">
        <w:rPr>
          <w:rFonts w:ascii="Times New Roman" w:hAnsi="Times New Roman"/>
          <w:bCs/>
          <w:sz w:val="24"/>
          <w:szCs w:val="24"/>
        </w:rPr>
        <w:t>Italy :</w:t>
      </w:r>
      <w:proofErr w:type="gramEnd"/>
      <w:r w:rsidRPr="00CF6488">
        <w:rPr>
          <w:rFonts w:ascii="Times New Roman" w:hAnsi="Times New Roman"/>
          <w:bCs/>
          <w:sz w:val="24"/>
          <w:szCs w:val="24"/>
        </w:rPr>
        <w:t xml:space="preserve"> Clinical and Audiological Characteristic’, </w:t>
      </w:r>
      <w:r w:rsidRPr="002B073B">
        <w:rPr>
          <w:rFonts w:ascii="Times New Roman" w:hAnsi="Times New Roman"/>
          <w:bCs/>
          <w:i/>
          <w:sz w:val="24"/>
          <w:szCs w:val="24"/>
        </w:rPr>
        <w:t>International Journal of Otolarynology</w:t>
      </w:r>
      <w:r w:rsidRPr="00CF6488">
        <w:rPr>
          <w:rFonts w:ascii="Times New Roman" w:hAnsi="Times New Roman"/>
          <w:bCs/>
          <w:sz w:val="24"/>
          <w:szCs w:val="24"/>
        </w:rPr>
        <w:t>; 2010, pp. 1-8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Mazurek, B.</w:t>
      </w:r>
      <w:r w:rsidRPr="00275D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Olze, H., Haupt, H.,</w:t>
      </w:r>
      <w:r w:rsidRPr="00275D14">
        <w:rPr>
          <w:rFonts w:ascii="Times New Roman" w:hAnsi="Times New Roman"/>
          <w:sz w:val="24"/>
          <w:szCs w:val="24"/>
        </w:rPr>
        <w:t xml:space="preserve"> et al. (2010). ‘</w:t>
      </w:r>
      <w:r w:rsidRPr="00275D14">
        <w:rPr>
          <w:rFonts w:ascii="Times New Roman" w:hAnsi="Times New Roman"/>
          <w:bCs/>
          <w:sz w:val="24"/>
          <w:szCs w:val="24"/>
        </w:rPr>
        <w:t xml:space="preserve">The More the Worse: the Grade </w:t>
      </w:r>
      <w:proofErr w:type="gramStart"/>
      <w:r w:rsidRPr="00275D14">
        <w:rPr>
          <w:rFonts w:ascii="Times New Roman" w:hAnsi="Times New Roman"/>
          <w:bCs/>
          <w:sz w:val="24"/>
          <w:szCs w:val="24"/>
        </w:rPr>
        <w:t>of  Noise</w:t>
      </w:r>
      <w:proofErr w:type="gramEnd"/>
      <w:r w:rsidRPr="00275D14">
        <w:rPr>
          <w:rFonts w:ascii="Times New Roman" w:hAnsi="Times New Roman"/>
          <w:bCs/>
          <w:sz w:val="24"/>
          <w:szCs w:val="24"/>
        </w:rPr>
        <w:t>-Induced Hearing Loss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75D14">
        <w:rPr>
          <w:rFonts w:ascii="Times New Roman" w:hAnsi="Times New Roman"/>
          <w:bCs/>
          <w:sz w:val="24"/>
          <w:szCs w:val="24"/>
        </w:rPr>
        <w:t>Associates with the Severity of Tinnitus’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75D14">
        <w:rPr>
          <w:rFonts w:ascii="Times New Roman" w:hAnsi="Times New Roman"/>
          <w:i/>
          <w:iCs/>
          <w:sz w:val="24"/>
          <w:szCs w:val="24"/>
        </w:rPr>
        <w:t xml:space="preserve">Int. J. Environ. Res. Public Healt; </w:t>
      </w:r>
      <w:r w:rsidRPr="00275D14">
        <w:rPr>
          <w:rFonts w:ascii="Times New Roman" w:hAnsi="Times New Roman"/>
          <w:iCs/>
          <w:sz w:val="24"/>
          <w:szCs w:val="24"/>
        </w:rPr>
        <w:t>7</w:t>
      </w:r>
      <w:r w:rsidRPr="00275D14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75D14">
        <w:rPr>
          <w:rFonts w:ascii="Times New Roman" w:hAnsi="Times New Roman"/>
          <w:iCs/>
          <w:sz w:val="24"/>
          <w:szCs w:val="24"/>
        </w:rPr>
        <w:t>pp.</w:t>
      </w:r>
      <w:r w:rsidRPr="00275D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75D14">
        <w:rPr>
          <w:rFonts w:ascii="Times New Roman" w:hAnsi="Times New Roman"/>
          <w:sz w:val="24"/>
          <w:szCs w:val="24"/>
        </w:rPr>
        <w:t>3071-3079.</w:t>
      </w: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</w:p>
    <w:p w:rsidR="002F431F" w:rsidRPr="00636C77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McCombe, A., Baguley, D., Coles, R., et al (2001). ‘Guidelines for The Grading of Tinnitus Severity : The Result of a Working Group Commissioned by the British Association of Otolaryngologist, Head and Neck Surgeons, 1999’, </w:t>
      </w:r>
      <w:r>
        <w:rPr>
          <w:rFonts w:ascii="Times New Roman" w:hAnsi="Times New Roman"/>
          <w:i/>
          <w:sz w:val="24"/>
          <w:szCs w:val="24"/>
        </w:rPr>
        <w:t>Clinical Otolaryngology, vol 26</w:t>
      </w:r>
      <w:r>
        <w:rPr>
          <w:rFonts w:ascii="Times New Roman" w:hAnsi="Times New Roman"/>
          <w:sz w:val="24"/>
          <w:szCs w:val="24"/>
        </w:rPr>
        <w:t>, pp. 388-393.</w:t>
      </w: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Monzani, D., Genovese, E., Marrara, A., et al</w:t>
      </w:r>
      <w:r w:rsidRPr="00CF6488">
        <w:rPr>
          <w:rFonts w:ascii="Times New Roman" w:hAnsi="Times New Roman"/>
          <w:bCs/>
          <w:sz w:val="24"/>
          <w:szCs w:val="24"/>
        </w:rPr>
        <w:t xml:space="preserve">. (2008). ‘Validity of the Italian adaptation of the Tinnitus Handicap Inventory; focus on quality of life and psychological distress in tinnitus-sufferers’, </w:t>
      </w:r>
      <w:r w:rsidRPr="002B073B">
        <w:rPr>
          <w:rFonts w:ascii="Times New Roman" w:hAnsi="Times New Roman"/>
          <w:bCs/>
          <w:i/>
          <w:sz w:val="24"/>
          <w:szCs w:val="24"/>
        </w:rPr>
        <w:t>ACTA Otorhinolaryngologica Italica</w:t>
      </w:r>
      <w:r w:rsidRPr="00CF6488">
        <w:rPr>
          <w:rFonts w:ascii="Times New Roman" w:hAnsi="Times New Roman"/>
          <w:bCs/>
          <w:sz w:val="24"/>
          <w:szCs w:val="24"/>
        </w:rPr>
        <w:t>; 28, pp. 126-134.</w:t>
      </w: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Riwidikdo, H. (2008). ‘Uji Validitas dan Reliabilitas’, dalam Setiawan, Ari (ed</w:t>
      </w:r>
      <w:proofErr w:type="gramStart"/>
      <w:r>
        <w:rPr>
          <w:rFonts w:ascii="Times New Roman" w:hAnsi="Times New Roman"/>
          <w:bCs/>
          <w:sz w:val="24"/>
          <w:szCs w:val="24"/>
        </w:rPr>
        <w:t>)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7403">
        <w:rPr>
          <w:rFonts w:ascii="Times New Roman" w:hAnsi="Times New Roman"/>
          <w:bCs/>
          <w:i/>
          <w:sz w:val="24"/>
          <w:szCs w:val="24"/>
        </w:rPr>
        <w:t>Statistik Kesehatan</w:t>
      </w:r>
      <w:r>
        <w:rPr>
          <w:rFonts w:ascii="Times New Roman" w:hAnsi="Times New Roman"/>
          <w:bCs/>
          <w:sz w:val="24"/>
          <w:szCs w:val="24"/>
        </w:rPr>
        <w:t>, Yogyakarta, Mitra Cendikia Press.</w:t>
      </w: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Safitri, E.D., Bashiruddin, J., Widayat, A., et al (2004). ‘</w:t>
      </w:r>
      <w:r w:rsidRPr="00DB7147">
        <w:rPr>
          <w:rFonts w:ascii="Times New Roman" w:hAnsi="Times New Roman"/>
          <w:i/>
          <w:sz w:val="24"/>
          <w:szCs w:val="24"/>
        </w:rPr>
        <w:t>Korelasi Antara Penguk</w:t>
      </w:r>
      <w:r>
        <w:rPr>
          <w:rFonts w:ascii="Times New Roman" w:hAnsi="Times New Roman"/>
          <w:i/>
          <w:sz w:val="24"/>
          <w:szCs w:val="24"/>
        </w:rPr>
        <w:t>uran Tinnitus Secara Subjektif dan Objektif p</w:t>
      </w:r>
      <w:r w:rsidRPr="00DB7147">
        <w:rPr>
          <w:rFonts w:ascii="Times New Roman" w:hAnsi="Times New Roman"/>
          <w:i/>
          <w:sz w:val="24"/>
          <w:szCs w:val="24"/>
        </w:rPr>
        <w:t>ada Psien Tinnitus Subjektif</w:t>
      </w:r>
      <w:r>
        <w:rPr>
          <w:rFonts w:ascii="Times New Roman" w:hAnsi="Times New Roman"/>
          <w:sz w:val="24"/>
          <w:szCs w:val="24"/>
        </w:rPr>
        <w:t>’. Jakarta. Departemen THT FKUI.</w:t>
      </w: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Saladin. (2003). ‘Sense </w:t>
      </w:r>
      <w:proofErr w:type="gramStart"/>
      <w:r>
        <w:rPr>
          <w:rFonts w:ascii="Times New Roman" w:hAnsi="Times New Roman"/>
          <w:sz w:val="24"/>
          <w:szCs w:val="24"/>
        </w:rPr>
        <w:t>Organ’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4287E">
        <w:rPr>
          <w:rFonts w:ascii="Times New Roman" w:hAnsi="Times New Roman"/>
          <w:i/>
          <w:sz w:val="24"/>
          <w:szCs w:val="24"/>
        </w:rPr>
        <w:t>Anatomy and Physiology : The Unity of Form and Function,</w:t>
      </w:r>
      <w:r>
        <w:rPr>
          <w:rFonts w:ascii="Times New Roman" w:hAnsi="Times New Roman"/>
          <w:sz w:val="24"/>
          <w:szCs w:val="24"/>
        </w:rPr>
        <w:t xml:space="preserve"> 3</w:t>
      </w:r>
      <w:r w:rsidRPr="00C4287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edition, New York, The McGraw-Hill Companies.</w:t>
      </w: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Silitonga, R. (2007). ‘Faktor – Faktor yang Berhubungan dengan Kualitas Hidup Penderita Parkinson di Poli Saraf RS </w:t>
      </w:r>
      <w:proofErr w:type="gramStart"/>
      <w:r>
        <w:rPr>
          <w:rFonts w:ascii="Times New Roman" w:hAnsi="Times New Roman"/>
          <w:bCs/>
          <w:sz w:val="24"/>
          <w:szCs w:val="24"/>
        </w:rPr>
        <w:t>dr</w:t>
      </w:r>
      <w:proofErr w:type="gramEnd"/>
      <w:r>
        <w:rPr>
          <w:rFonts w:ascii="Times New Roman" w:hAnsi="Times New Roman"/>
          <w:bCs/>
          <w:sz w:val="24"/>
          <w:szCs w:val="24"/>
        </w:rPr>
        <w:t>. Kariadi. Semarang. Universitas Diponegoro.</w:t>
      </w:r>
    </w:p>
    <w:p w:rsidR="002F431F" w:rsidRDefault="002F431F" w:rsidP="002F431F">
      <w:pPr>
        <w:tabs>
          <w:tab w:val="left" w:pos="425"/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</w:p>
    <w:p w:rsidR="00D812E1" w:rsidRPr="00D812E1" w:rsidRDefault="002F431F" w:rsidP="002F431F">
      <w:p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275D14">
        <w:rPr>
          <w:rFonts w:ascii="Times New Roman" w:hAnsi="Times New Roman"/>
          <w:bCs/>
          <w:sz w:val="24"/>
          <w:szCs w:val="24"/>
        </w:rPr>
        <w:lastRenderedPageBreak/>
        <w:t>Sosialisman.,</w:t>
      </w:r>
      <w:proofErr w:type="gramEnd"/>
      <w:r w:rsidRPr="00275D1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dan Bashiruddin, J</w:t>
      </w:r>
      <w:r w:rsidRPr="00275D14">
        <w:rPr>
          <w:rFonts w:ascii="Times New Roman" w:hAnsi="Times New Roman"/>
          <w:bCs/>
          <w:sz w:val="24"/>
          <w:szCs w:val="24"/>
        </w:rPr>
        <w:t xml:space="preserve">. (2001). ‘Tinitus’, dalam Soepardi, Efiati A, dan Iskandar, Nurbaiti (ed) :  </w:t>
      </w:r>
      <w:r w:rsidRPr="00275D14">
        <w:rPr>
          <w:rFonts w:ascii="Times New Roman" w:hAnsi="Times New Roman"/>
          <w:bCs/>
          <w:i/>
          <w:sz w:val="24"/>
          <w:szCs w:val="24"/>
        </w:rPr>
        <w:t>Buku Ajar Ilmu Kesehatan Telinga Hidung Tenggorokan Kepala Leher</w:t>
      </w:r>
      <w:r w:rsidRPr="00275D14">
        <w:rPr>
          <w:rFonts w:ascii="Times New Roman" w:hAnsi="Times New Roman"/>
          <w:bCs/>
          <w:sz w:val="24"/>
          <w:szCs w:val="24"/>
        </w:rPr>
        <w:t xml:space="preserve">, Edisi </w:t>
      </w:r>
      <w:r>
        <w:rPr>
          <w:rFonts w:ascii="Times New Roman" w:hAnsi="Times New Roman"/>
          <w:bCs/>
          <w:sz w:val="24"/>
          <w:szCs w:val="24"/>
        </w:rPr>
        <w:t>5, Jakarta, Balai Penerbit FKUI</w:t>
      </w:r>
      <w:r w:rsidRPr="00275D14">
        <w:rPr>
          <w:rFonts w:ascii="Times New Roman" w:hAnsi="Times New Roman"/>
          <w:bCs/>
          <w:sz w:val="24"/>
          <w:szCs w:val="24"/>
        </w:rPr>
        <w:t>.</w:t>
      </w:r>
    </w:p>
    <w:sectPr w:rsidR="00D812E1" w:rsidRPr="00D812E1" w:rsidSect="00540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540" w:rsidRDefault="00313540" w:rsidP="008D0119">
      <w:pPr>
        <w:spacing w:after="0" w:line="240" w:lineRule="auto"/>
      </w:pPr>
      <w:r>
        <w:separator/>
      </w:r>
    </w:p>
  </w:endnote>
  <w:endnote w:type="continuationSeparator" w:id="1">
    <w:p w:rsidR="00313540" w:rsidRDefault="00313540" w:rsidP="008D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94" w:rsidRDefault="003303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02"/>
      <w:docPartObj>
        <w:docPartGallery w:val="Page Numbers (Bottom of Page)"/>
        <w:docPartUnique/>
      </w:docPartObj>
    </w:sdtPr>
    <w:sdtContent>
      <w:p w:rsidR="00330394" w:rsidRDefault="00330394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30394" w:rsidRDefault="003303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94" w:rsidRDefault="00330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540" w:rsidRDefault="00313540" w:rsidP="008D0119">
      <w:pPr>
        <w:spacing w:after="0" w:line="240" w:lineRule="auto"/>
      </w:pPr>
      <w:r>
        <w:separator/>
      </w:r>
    </w:p>
  </w:footnote>
  <w:footnote w:type="continuationSeparator" w:id="1">
    <w:p w:rsidR="00313540" w:rsidRDefault="00313540" w:rsidP="008D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94" w:rsidRDefault="00330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94" w:rsidRDefault="003303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94" w:rsidRDefault="003303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1D1"/>
    <w:multiLevelType w:val="multilevel"/>
    <w:tmpl w:val="9A5083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F218C6"/>
    <w:multiLevelType w:val="hybridMultilevel"/>
    <w:tmpl w:val="A4EA4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5A6"/>
    <w:multiLevelType w:val="multilevel"/>
    <w:tmpl w:val="0DE094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F9E62AB"/>
    <w:multiLevelType w:val="hybridMultilevel"/>
    <w:tmpl w:val="28B619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2476"/>
    <w:multiLevelType w:val="hybridMultilevel"/>
    <w:tmpl w:val="D54A3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700B5"/>
    <w:multiLevelType w:val="multilevel"/>
    <w:tmpl w:val="E376A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C31AB6"/>
    <w:multiLevelType w:val="hybridMultilevel"/>
    <w:tmpl w:val="3A52D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D26CF"/>
    <w:multiLevelType w:val="hybridMultilevel"/>
    <w:tmpl w:val="DB887CA6"/>
    <w:lvl w:ilvl="0" w:tplc="7716274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64B7D49"/>
    <w:multiLevelType w:val="hybridMultilevel"/>
    <w:tmpl w:val="E020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75702"/>
    <w:multiLevelType w:val="hybridMultilevel"/>
    <w:tmpl w:val="14124088"/>
    <w:lvl w:ilvl="0" w:tplc="BC1CE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87612"/>
    <w:multiLevelType w:val="hybridMultilevel"/>
    <w:tmpl w:val="5A18C0C4"/>
    <w:lvl w:ilvl="0" w:tplc="A78884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4443C"/>
    <w:multiLevelType w:val="hybridMultilevel"/>
    <w:tmpl w:val="7F7AE782"/>
    <w:lvl w:ilvl="0" w:tplc="6B24A1C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80366A"/>
    <w:multiLevelType w:val="hybridMultilevel"/>
    <w:tmpl w:val="5546D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5E3FBD"/>
    <w:multiLevelType w:val="hybridMultilevel"/>
    <w:tmpl w:val="593E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72C22"/>
    <w:multiLevelType w:val="hybridMultilevel"/>
    <w:tmpl w:val="C69E32BC"/>
    <w:lvl w:ilvl="0" w:tplc="7D28E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46E81"/>
    <w:multiLevelType w:val="hybridMultilevel"/>
    <w:tmpl w:val="927AE6C0"/>
    <w:lvl w:ilvl="0" w:tplc="DAC41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54289"/>
    <w:multiLevelType w:val="hybridMultilevel"/>
    <w:tmpl w:val="A5AE8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3C347A"/>
    <w:multiLevelType w:val="multilevel"/>
    <w:tmpl w:val="E93E77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3834022"/>
    <w:multiLevelType w:val="hybridMultilevel"/>
    <w:tmpl w:val="6B26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156C5"/>
    <w:multiLevelType w:val="multilevel"/>
    <w:tmpl w:val="F3A21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FC0B3A"/>
    <w:multiLevelType w:val="hybridMultilevel"/>
    <w:tmpl w:val="FF3438FE"/>
    <w:lvl w:ilvl="0" w:tplc="D3E6B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36E6C"/>
    <w:multiLevelType w:val="hybridMultilevel"/>
    <w:tmpl w:val="F5740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2">
    <w:nsid w:val="552C3B15"/>
    <w:multiLevelType w:val="hybridMultilevel"/>
    <w:tmpl w:val="F026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E5E43"/>
    <w:multiLevelType w:val="hybridMultilevel"/>
    <w:tmpl w:val="D4A0BF9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A8475D"/>
    <w:multiLevelType w:val="hybridMultilevel"/>
    <w:tmpl w:val="1F08BBAC"/>
    <w:lvl w:ilvl="0" w:tplc="29109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17715"/>
    <w:multiLevelType w:val="hybridMultilevel"/>
    <w:tmpl w:val="454623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9541358"/>
    <w:multiLevelType w:val="hybridMultilevel"/>
    <w:tmpl w:val="1F08BBAC"/>
    <w:lvl w:ilvl="0" w:tplc="29109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3593D"/>
    <w:multiLevelType w:val="hybridMultilevel"/>
    <w:tmpl w:val="AE962124"/>
    <w:lvl w:ilvl="0" w:tplc="E228BF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E01581"/>
    <w:multiLevelType w:val="hybridMultilevel"/>
    <w:tmpl w:val="8676E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D0D69"/>
    <w:multiLevelType w:val="hybridMultilevel"/>
    <w:tmpl w:val="5AFA8FFA"/>
    <w:lvl w:ilvl="0" w:tplc="4EB85DB8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E19BA"/>
    <w:multiLevelType w:val="hybridMultilevel"/>
    <w:tmpl w:val="5B7C1AB8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>
    <w:nsid w:val="7A6E114B"/>
    <w:multiLevelType w:val="hybridMultilevel"/>
    <w:tmpl w:val="BE7EA19C"/>
    <w:lvl w:ilvl="0" w:tplc="02360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1"/>
  </w:num>
  <w:num w:numId="5">
    <w:abstractNumId w:val="5"/>
  </w:num>
  <w:num w:numId="6">
    <w:abstractNumId w:val="27"/>
  </w:num>
  <w:num w:numId="7">
    <w:abstractNumId w:val="14"/>
  </w:num>
  <w:num w:numId="8">
    <w:abstractNumId w:val="30"/>
  </w:num>
  <w:num w:numId="9">
    <w:abstractNumId w:val="12"/>
  </w:num>
  <w:num w:numId="10">
    <w:abstractNumId w:val="16"/>
  </w:num>
  <w:num w:numId="11">
    <w:abstractNumId w:val="17"/>
  </w:num>
  <w:num w:numId="12">
    <w:abstractNumId w:val="28"/>
  </w:num>
  <w:num w:numId="13">
    <w:abstractNumId w:val="23"/>
  </w:num>
  <w:num w:numId="14">
    <w:abstractNumId w:val="4"/>
  </w:num>
  <w:num w:numId="15">
    <w:abstractNumId w:val="25"/>
  </w:num>
  <w:num w:numId="16">
    <w:abstractNumId w:val="24"/>
  </w:num>
  <w:num w:numId="17">
    <w:abstractNumId w:val="26"/>
  </w:num>
  <w:num w:numId="18">
    <w:abstractNumId w:val="0"/>
  </w:num>
  <w:num w:numId="19">
    <w:abstractNumId w:val="9"/>
  </w:num>
  <w:num w:numId="20">
    <w:abstractNumId w:val="2"/>
  </w:num>
  <w:num w:numId="21">
    <w:abstractNumId w:val="15"/>
  </w:num>
  <w:num w:numId="22">
    <w:abstractNumId w:val="13"/>
  </w:num>
  <w:num w:numId="23">
    <w:abstractNumId w:val="19"/>
  </w:num>
  <w:num w:numId="24">
    <w:abstractNumId w:val="11"/>
  </w:num>
  <w:num w:numId="25">
    <w:abstractNumId w:val="10"/>
  </w:num>
  <w:num w:numId="26">
    <w:abstractNumId w:val="3"/>
  </w:num>
  <w:num w:numId="27">
    <w:abstractNumId w:val="20"/>
  </w:num>
  <w:num w:numId="28">
    <w:abstractNumId w:val="1"/>
  </w:num>
  <w:num w:numId="29">
    <w:abstractNumId w:val="8"/>
  </w:num>
  <w:num w:numId="30">
    <w:abstractNumId w:val="18"/>
  </w:num>
  <w:num w:numId="31">
    <w:abstractNumId w:val="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46C"/>
    <w:rsid w:val="00005243"/>
    <w:rsid w:val="00017F30"/>
    <w:rsid w:val="0004353B"/>
    <w:rsid w:val="000E6A57"/>
    <w:rsid w:val="001177EB"/>
    <w:rsid w:val="00154CCA"/>
    <w:rsid w:val="001B61ED"/>
    <w:rsid w:val="001D7A3D"/>
    <w:rsid w:val="001F3ED2"/>
    <w:rsid w:val="002069C8"/>
    <w:rsid w:val="00295004"/>
    <w:rsid w:val="00297D2F"/>
    <w:rsid w:val="002B3562"/>
    <w:rsid w:val="002C2DC9"/>
    <w:rsid w:val="002F431F"/>
    <w:rsid w:val="00313540"/>
    <w:rsid w:val="00330394"/>
    <w:rsid w:val="0035005B"/>
    <w:rsid w:val="003F0D96"/>
    <w:rsid w:val="005241A0"/>
    <w:rsid w:val="0054051F"/>
    <w:rsid w:val="0057505B"/>
    <w:rsid w:val="005932F0"/>
    <w:rsid w:val="005E091A"/>
    <w:rsid w:val="00607446"/>
    <w:rsid w:val="006166EC"/>
    <w:rsid w:val="006252AE"/>
    <w:rsid w:val="00637059"/>
    <w:rsid w:val="006C1F37"/>
    <w:rsid w:val="006E7851"/>
    <w:rsid w:val="007B1B6E"/>
    <w:rsid w:val="007E7394"/>
    <w:rsid w:val="008D0119"/>
    <w:rsid w:val="008D3C7C"/>
    <w:rsid w:val="0096244C"/>
    <w:rsid w:val="0097146C"/>
    <w:rsid w:val="00993E45"/>
    <w:rsid w:val="00A21D42"/>
    <w:rsid w:val="00AF73C1"/>
    <w:rsid w:val="00B44142"/>
    <w:rsid w:val="00B511CE"/>
    <w:rsid w:val="00C12ACB"/>
    <w:rsid w:val="00C67874"/>
    <w:rsid w:val="00D33A0C"/>
    <w:rsid w:val="00D812E1"/>
    <w:rsid w:val="00DB3711"/>
    <w:rsid w:val="00E60AD5"/>
    <w:rsid w:val="00E95CEB"/>
    <w:rsid w:val="00EA76CB"/>
    <w:rsid w:val="00F34FA4"/>
    <w:rsid w:val="00F52EA3"/>
    <w:rsid w:val="00F7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6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7146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7146C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7146C"/>
    <w:rPr>
      <w:i/>
      <w:iCs/>
    </w:rPr>
  </w:style>
  <w:style w:type="character" w:customStyle="1" w:styleId="createby">
    <w:name w:val="createby"/>
    <w:basedOn w:val="DefaultParagraphFont"/>
    <w:rsid w:val="0097146C"/>
  </w:style>
  <w:style w:type="table" w:styleId="TableGrid">
    <w:name w:val="Table Grid"/>
    <w:basedOn w:val="TableNormal"/>
    <w:uiPriority w:val="59"/>
    <w:rsid w:val="009714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7146C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DefaultParagraphFont"/>
    <w:rsid w:val="0097146C"/>
  </w:style>
  <w:style w:type="paragraph" w:customStyle="1" w:styleId="WW-Default">
    <w:name w:val="WW-Default"/>
    <w:uiPriority w:val="99"/>
    <w:rsid w:val="0097146C"/>
    <w:pPr>
      <w:suppressAutoHyphens/>
    </w:pPr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E1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D81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19"/>
    <w:rPr>
      <w:rFonts w:ascii="Calibri" w:eastAsia="Calibri" w:hAnsi="Calibri" w:cs="Times New Roman"/>
      <w:lang w:val="en-US"/>
    </w:rPr>
  </w:style>
  <w:style w:type="table" w:customStyle="1" w:styleId="LightShading2">
    <w:name w:val="Light Shading2"/>
    <w:basedOn w:val="TableNormal"/>
    <w:uiPriority w:val="60"/>
    <w:rsid w:val="002F431F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Dara</cp:lastModifiedBy>
  <cp:revision>5</cp:revision>
  <dcterms:created xsi:type="dcterms:W3CDTF">2012-02-08T01:07:00Z</dcterms:created>
  <dcterms:modified xsi:type="dcterms:W3CDTF">2012-02-15T00:14:00Z</dcterms:modified>
</cp:coreProperties>
</file>