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21" w:rsidRPr="00443368" w:rsidRDefault="00587721" w:rsidP="00587721">
      <w:pPr>
        <w:jc w:val="center"/>
        <w:rPr>
          <w:b/>
          <w:lang w:val="sv-SE"/>
        </w:rPr>
      </w:pPr>
      <w:r>
        <w:rPr>
          <w:b/>
          <w:lang w:val="id-ID"/>
        </w:rPr>
        <w:t>PROFIL ANEMIA BERDASARKAN INDEKS ERITROSIT PADA SISWA SMP DI DAERAH PANTAI KECAMATAN TANJUNG KABUPATEN LOMBOK UTARA TAHUN 2013</w:t>
      </w:r>
    </w:p>
    <w:p w:rsidR="00123B30" w:rsidRPr="007D2CFD" w:rsidRDefault="00123B30" w:rsidP="00123B30">
      <w:pPr>
        <w:spacing w:line="360" w:lineRule="auto"/>
        <w:ind w:left="-108"/>
        <w:jc w:val="center"/>
        <w:rPr>
          <w:b/>
          <w:sz w:val="28"/>
          <w:lang w:val="id-ID"/>
        </w:rPr>
      </w:pPr>
    </w:p>
    <w:p w:rsidR="00123B30" w:rsidRPr="007D2CFD" w:rsidRDefault="00123B30" w:rsidP="00123B30">
      <w:pPr>
        <w:spacing w:line="360" w:lineRule="auto"/>
        <w:ind w:left="-108"/>
        <w:jc w:val="center"/>
        <w:rPr>
          <w:b/>
          <w:lang w:val="id-ID"/>
        </w:rPr>
      </w:pPr>
      <w:r w:rsidRPr="007D2CFD">
        <w:rPr>
          <w:b/>
          <w:lang w:val="id-ID"/>
        </w:rPr>
        <w:t xml:space="preserve">ARTIKEL </w:t>
      </w:r>
      <w:r w:rsidRPr="007D2CFD">
        <w:rPr>
          <w:b/>
        </w:rPr>
        <w:t>ILMIAH</w:t>
      </w:r>
    </w:p>
    <w:p w:rsidR="00123B30" w:rsidRPr="007D2CFD" w:rsidRDefault="00123B30" w:rsidP="00123B30">
      <w:pPr>
        <w:spacing w:line="360" w:lineRule="auto"/>
        <w:ind w:left="-108"/>
        <w:jc w:val="center"/>
        <w:rPr>
          <w:b/>
          <w:lang w:val="id-ID"/>
        </w:rPr>
      </w:pPr>
    </w:p>
    <w:p w:rsidR="00123B30" w:rsidRPr="007D2CFD" w:rsidRDefault="00123B30" w:rsidP="00123B30">
      <w:pPr>
        <w:spacing w:line="360" w:lineRule="auto"/>
        <w:ind w:left="-108"/>
        <w:jc w:val="center"/>
        <w:rPr>
          <w:b/>
          <w:lang w:val="id-ID"/>
        </w:rPr>
      </w:pPr>
      <w:r w:rsidRPr="007D2CFD">
        <w:rPr>
          <w:b/>
          <w:lang w:val="id-ID"/>
        </w:rPr>
        <w:t>Diajukan sebagai syarat meraih gelar sarjana pada Fakultas Kedokteran Universitas Mataram</w:t>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r w:rsidRPr="007D2CFD">
        <w:rPr>
          <w:noProof/>
          <w:lang w:val="id-ID" w:eastAsia="id-ID"/>
        </w:rPr>
        <w:drawing>
          <wp:inline distT="0" distB="0" distL="0" distR="0">
            <wp:extent cx="1644103"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103" cy="1620000"/>
                    </a:xfrm>
                    <a:prstGeom prst="rect">
                      <a:avLst/>
                    </a:prstGeom>
                    <a:noFill/>
                    <a:ln>
                      <a:noFill/>
                    </a:ln>
                  </pic:spPr>
                </pic:pic>
              </a:graphicData>
            </a:graphic>
          </wp:inline>
        </w:drawing>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b/>
          <w:lang w:val="id-ID"/>
        </w:rPr>
      </w:pPr>
      <w:r w:rsidRPr="007D2CFD">
        <w:rPr>
          <w:b/>
          <w:lang w:val="id-ID"/>
        </w:rPr>
        <w:t>Oleh :</w:t>
      </w:r>
    </w:p>
    <w:p w:rsidR="00123B30" w:rsidRPr="00F05E56" w:rsidRDefault="00F05E56" w:rsidP="00123B30">
      <w:pPr>
        <w:spacing w:line="360" w:lineRule="auto"/>
        <w:ind w:left="-108"/>
        <w:jc w:val="center"/>
        <w:rPr>
          <w:b/>
          <w:lang w:val="id-ID"/>
        </w:rPr>
      </w:pPr>
      <w:r>
        <w:rPr>
          <w:b/>
          <w:lang w:val="id-ID"/>
        </w:rPr>
        <w:t>I Nyoman Ardi Widiatmika</w:t>
      </w:r>
    </w:p>
    <w:p w:rsidR="00123B30" w:rsidRPr="00F05E56" w:rsidRDefault="00123B30" w:rsidP="00123B30">
      <w:pPr>
        <w:spacing w:line="360" w:lineRule="auto"/>
        <w:ind w:left="-108"/>
        <w:jc w:val="center"/>
        <w:rPr>
          <w:b/>
          <w:lang w:val="id-ID"/>
        </w:rPr>
      </w:pPr>
      <w:r w:rsidRPr="007D2CFD">
        <w:rPr>
          <w:b/>
          <w:lang w:val="id-ID"/>
        </w:rPr>
        <w:t xml:space="preserve">H1A </w:t>
      </w:r>
      <w:r w:rsidR="00F05E56">
        <w:rPr>
          <w:b/>
        </w:rPr>
        <w:t>010 0</w:t>
      </w:r>
      <w:r w:rsidR="00F05E56">
        <w:rPr>
          <w:b/>
          <w:lang w:val="id-ID"/>
        </w:rPr>
        <w:t>42</w:t>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b/>
          <w:lang w:val="id-ID"/>
        </w:rPr>
      </w:pPr>
      <w:r w:rsidRPr="007D2CFD">
        <w:rPr>
          <w:b/>
          <w:lang w:val="id-ID"/>
        </w:rPr>
        <w:t>FAKULTAS KEDOKTERAN</w:t>
      </w:r>
    </w:p>
    <w:p w:rsidR="00123B30" w:rsidRPr="007D2CFD" w:rsidRDefault="00123B30" w:rsidP="00123B30">
      <w:pPr>
        <w:spacing w:line="360" w:lineRule="auto"/>
        <w:ind w:left="-108"/>
        <w:jc w:val="center"/>
        <w:rPr>
          <w:b/>
          <w:lang w:val="id-ID"/>
        </w:rPr>
      </w:pPr>
      <w:r w:rsidRPr="007D2CFD">
        <w:rPr>
          <w:b/>
          <w:lang w:val="id-ID"/>
        </w:rPr>
        <w:t>UNIVERSITAS MATARAM</w:t>
      </w:r>
    </w:p>
    <w:p w:rsidR="00123B30" w:rsidRPr="007D2CFD" w:rsidRDefault="00123B30" w:rsidP="00123B30">
      <w:pPr>
        <w:spacing w:line="360" w:lineRule="auto"/>
        <w:ind w:left="-108"/>
        <w:jc w:val="center"/>
        <w:rPr>
          <w:b/>
          <w:lang w:val="id-ID"/>
        </w:rPr>
      </w:pPr>
      <w:r w:rsidRPr="007D2CFD">
        <w:rPr>
          <w:b/>
          <w:lang w:val="id-ID"/>
        </w:rPr>
        <w:t>MATARAM</w:t>
      </w:r>
    </w:p>
    <w:p w:rsidR="00123B30" w:rsidRPr="007D2CFD" w:rsidRDefault="00123B30" w:rsidP="00123B30">
      <w:pPr>
        <w:spacing w:line="360" w:lineRule="auto"/>
        <w:jc w:val="center"/>
        <w:rPr>
          <w:b/>
        </w:rPr>
      </w:pPr>
      <w:r w:rsidRPr="007D2CFD">
        <w:rPr>
          <w:b/>
          <w:lang w:val="id-ID"/>
        </w:rPr>
        <w:t>201</w:t>
      </w:r>
      <w:r w:rsidRPr="007D2CFD">
        <w:rPr>
          <w:b/>
        </w:rPr>
        <w:t>4</w:t>
      </w:r>
    </w:p>
    <w:p w:rsidR="00123B30" w:rsidRDefault="00123B30" w:rsidP="00123B30">
      <w:pPr>
        <w:spacing w:line="360" w:lineRule="auto"/>
        <w:jc w:val="center"/>
        <w:rPr>
          <w:rFonts w:ascii="Arial" w:hAnsi="Arial" w:cs="Arial"/>
          <w:b/>
          <w:sz w:val="20"/>
          <w:szCs w:val="20"/>
          <w:lang w:val="id-ID"/>
        </w:rPr>
      </w:pPr>
    </w:p>
    <w:p w:rsidR="00587721" w:rsidRPr="00587721" w:rsidRDefault="00587721" w:rsidP="00123B30">
      <w:pPr>
        <w:spacing w:line="360" w:lineRule="auto"/>
        <w:jc w:val="center"/>
        <w:rPr>
          <w:rFonts w:ascii="Arial" w:hAnsi="Arial" w:cs="Arial"/>
          <w:b/>
          <w:sz w:val="20"/>
          <w:szCs w:val="20"/>
          <w:lang w:val="id-ID"/>
        </w:rPr>
      </w:pPr>
    </w:p>
    <w:p w:rsidR="00F05E56" w:rsidRPr="00F05E56" w:rsidRDefault="00D17604" w:rsidP="00587721">
      <w:pPr>
        <w:spacing w:line="360" w:lineRule="auto"/>
        <w:jc w:val="center"/>
        <w:rPr>
          <w:rFonts w:ascii="Arial" w:hAnsi="Arial" w:cs="Arial"/>
          <w:b/>
          <w:sz w:val="20"/>
          <w:szCs w:val="20"/>
          <w:lang w:val="sv-SE"/>
        </w:rPr>
      </w:pPr>
      <w:r>
        <w:rPr>
          <w:rFonts w:ascii="Arial" w:hAnsi="Arial" w:cs="Arial"/>
          <w:b/>
          <w:noProof/>
          <w:sz w:val="20"/>
          <w:szCs w:val="20"/>
          <w:lang w:val="id-ID" w:eastAsia="id-ID"/>
        </w:rPr>
        <w:lastRenderedPageBreak/>
        <w:pict>
          <v:rect id="_x0000_s1045" style="position:absolute;left:0;text-align:left;margin-left:386.05pt;margin-top:-81.1pt;width:20.95pt;height:22.6pt;z-index:251667456" strokecolor="white [3212]"/>
        </w:pict>
      </w:r>
      <w:r w:rsidR="009102D7" w:rsidRPr="007D2CFD">
        <w:rPr>
          <w:rFonts w:ascii="Arial" w:hAnsi="Arial" w:cs="Arial"/>
          <w:b/>
          <w:sz w:val="20"/>
          <w:szCs w:val="20"/>
        </w:rPr>
        <w:t xml:space="preserve"> </w:t>
      </w:r>
      <w:r w:rsidR="00F05E56" w:rsidRPr="00F05E56">
        <w:rPr>
          <w:rFonts w:ascii="Arial" w:hAnsi="Arial" w:cs="Arial"/>
          <w:b/>
          <w:sz w:val="20"/>
          <w:szCs w:val="20"/>
          <w:lang w:val="id-ID"/>
        </w:rPr>
        <w:t>PROFIL ANEMIA BERDASARKAN INDEKS ERITROSIT PADA SISWA SMP DI DAERAH PANTAI KECAMATAN TANJUNG KABUPATEN LOMBOK UTARA TAHUN 2013</w:t>
      </w:r>
    </w:p>
    <w:p w:rsidR="00012429" w:rsidRPr="007D2CFD" w:rsidRDefault="00012429" w:rsidP="00161B7E">
      <w:pPr>
        <w:spacing w:line="360" w:lineRule="auto"/>
        <w:jc w:val="center"/>
        <w:rPr>
          <w:rFonts w:ascii="Arial" w:hAnsi="Arial" w:cs="Arial"/>
          <w:sz w:val="20"/>
          <w:szCs w:val="20"/>
          <w:lang w:val="id-ID"/>
        </w:rPr>
      </w:pPr>
    </w:p>
    <w:p w:rsidR="00587721" w:rsidRDefault="00587721" w:rsidP="00161B7E">
      <w:pPr>
        <w:spacing w:line="360" w:lineRule="auto"/>
        <w:jc w:val="center"/>
        <w:rPr>
          <w:rFonts w:ascii="Arial" w:hAnsi="Arial" w:cs="Arial"/>
          <w:sz w:val="20"/>
          <w:szCs w:val="20"/>
          <w:lang w:val="id-ID"/>
        </w:rPr>
      </w:pPr>
      <w:r>
        <w:rPr>
          <w:rFonts w:ascii="Arial" w:hAnsi="Arial" w:cs="Arial"/>
          <w:sz w:val="20"/>
          <w:szCs w:val="20"/>
          <w:lang w:val="id-ID"/>
        </w:rPr>
        <w:t>I Nyoman Ardi Widiatmika</w:t>
      </w:r>
      <w:r w:rsidR="009102D7" w:rsidRPr="007D2CFD">
        <w:rPr>
          <w:rFonts w:ascii="Arial" w:hAnsi="Arial" w:cs="Arial"/>
          <w:sz w:val="20"/>
          <w:szCs w:val="20"/>
          <w:lang w:val="id-ID"/>
        </w:rPr>
        <w:t xml:space="preserve">, </w:t>
      </w:r>
      <w:r>
        <w:rPr>
          <w:rFonts w:ascii="Arial" w:hAnsi="Arial" w:cs="Arial"/>
          <w:sz w:val="20"/>
          <w:szCs w:val="20"/>
          <w:lang w:val="id-ID"/>
        </w:rPr>
        <w:t xml:space="preserve">Ima Arum L., Putu Aditya Wiguna </w:t>
      </w:r>
    </w:p>
    <w:p w:rsidR="00012429" w:rsidRPr="007D2CFD" w:rsidRDefault="00012429" w:rsidP="00161B7E">
      <w:pPr>
        <w:spacing w:line="360" w:lineRule="auto"/>
        <w:jc w:val="center"/>
        <w:rPr>
          <w:rFonts w:ascii="Arial" w:hAnsi="Arial" w:cs="Arial"/>
          <w:sz w:val="20"/>
          <w:szCs w:val="20"/>
        </w:rPr>
      </w:pPr>
      <w:r w:rsidRPr="007D2CFD">
        <w:rPr>
          <w:rFonts w:ascii="Arial" w:hAnsi="Arial" w:cs="Arial"/>
          <w:sz w:val="20"/>
          <w:szCs w:val="20"/>
          <w:lang w:val="id-ID"/>
        </w:rPr>
        <w:t>F</w:t>
      </w:r>
      <w:r w:rsidR="00A25A6D" w:rsidRPr="007D2CFD">
        <w:rPr>
          <w:rFonts w:ascii="Arial" w:hAnsi="Arial" w:cs="Arial"/>
          <w:sz w:val="20"/>
          <w:szCs w:val="20"/>
          <w:lang w:val="id-ID"/>
        </w:rPr>
        <w:t>akultas Kedokteran Universitas Mataram</w:t>
      </w:r>
    </w:p>
    <w:p w:rsidR="002B3161" w:rsidRPr="007D2CFD" w:rsidRDefault="002B3161" w:rsidP="00161B7E">
      <w:pPr>
        <w:spacing w:line="360" w:lineRule="auto"/>
        <w:jc w:val="center"/>
        <w:rPr>
          <w:rFonts w:ascii="Arial" w:hAnsi="Arial" w:cs="Arial"/>
          <w:sz w:val="20"/>
          <w:szCs w:val="20"/>
        </w:rPr>
      </w:pPr>
    </w:p>
    <w:p w:rsidR="00012429" w:rsidRPr="007D2CFD" w:rsidRDefault="002B3161" w:rsidP="002B3161">
      <w:pPr>
        <w:jc w:val="both"/>
        <w:rPr>
          <w:rFonts w:ascii="Arial" w:hAnsi="Arial" w:cs="Arial"/>
          <w:b/>
          <w:i/>
          <w:sz w:val="18"/>
          <w:szCs w:val="18"/>
        </w:rPr>
      </w:pPr>
      <w:r w:rsidRPr="007D2CFD">
        <w:rPr>
          <w:rFonts w:ascii="Arial" w:hAnsi="Arial" w:cs="Arial"/>
          <w:b/>
          <w:i/>
          <w:sz w:val="18"/>
          <w:szCs w:val="18"/>
        </w:rPr>
        <w:t>Abstract</w:t>
      </w:r>
    </w:p>
    <w:p w:rsidR="0030769C" w:rsidRPr="007F16D4" w:rsidRDefault="0030769C" w:rsidP="002B3161">
      <w:pPr>
        <w:ind w:right="13"/>
        <w:jc w:val="both"/>
        <w:rPr>
          <w:rFonts w:ascii="Arial" w:hAnsi="Arial" w:cs="Arial"/>
          <w:sz w:val="18"/>
          <w:szCs w:val="18"/>
        </w:rPr>
      </w:pPr>
      <w:r w:rsidRPr="007D2CFD">
        <w:rPr>
          <w:rFonts w:ascii="Arial" w:hAnsi="Arial" w:cs="Arial"/>
          <w:b/>
          <w:i/>
          <w:sz w:val="18"/>
          <w:szCs w:val="18"/>
        </w:rPr>
        <w:t>Background:</w:t>
      </w:r>
      <w:r w:rsidR="00587721">
        <w:rPr>
          <w:rFonts w:ascii="Arial" w:hAnsi="Arial" w:cs="Arial"/>
          <w:b/>
          <w:i/>
          <w:sz w:val="18"/>
          <w:szCs w:val="18"/>
          <w:lang w:val="id-ID"/>
        </w:rPr>
        <w:t xml:space="preserve"> </w:t>
      </w:r>
      <w:r w:rsidR="007F16D4" w:rsidRPr="007F16D4">
        <w:rPr>
          <w:rFonts w:ascii="Arial" w:hAnsi="Arial" w:cs="Arial"/>
          <w:sz w:val="18"/>
          <w:szCs w:val="18"/>
        </w:rPr>
        <w:t>A</w:t>
      </w:r>
      <w:r w:rsidR="007F16D4" w:rsidRPr="007F16D4">
        <w:rPr>
          <w:rFonts w:ascii="Arial" w:hAnsi="Arial" w:cs="Arial"/>
          <w:sz w:val="18"/>
          <w:szCs w:val="18"/>
          <w:lang w:val="id-ID"/>
        </w:rPr>
        <w:t xml:space="preserve">nemia </w:t>
      </w:r>
      <w:r w:rsidR="007F16D4" w:rsidRPr="007F16D4">
        <w:rPr>
          <w:rFonts w:ascii="Arial" w:hAnsi="Arial" w:cs="Arial"/>
          <w:sz w:val="18"/>
          <w:szCs w:val="18"/>
        </w:rPr>
        <w:t xml:space="preserve">is indicated </w:t>
      </w:r>
      <w:r w:rsidR="007F16D4" w:rsidRPr="007F16D4">
        <w:rPr>
          <w:rFonts w:ascii="Arial" w:hAnsi="Arial" w:cs="Arial"/>
          <w:sz w:val="18"/>
          <w:szCs w:val="18"/>
          <w:lang w:val="id-ID"/>
        </w:rPr>
        <w:t xml:space="preserve">by </w:t>
      </w:r>
      <w:r w:rsidR="007F16D4" w:rsidRPr="007F16D4">
        <w:rPr>
          <w:rFonts w:ascii="Arial" w:hAnsi="Arial" w:cs="Arial"/>
          <w:sz w:val="18"/>
          <w:szCs w:val="18"/>
        </w:rPr>
        <w:t xml:space="preserve">the </w:t>
      </w:r>
      <w:r w:rsidR="007F16D4" w:rsidRPr="007F16D4">
        <w:rPr>
          <w:rFonts w:ascii="Arial" w:hAnsi="Arial" w:cs="Arial"/>
          <w:sz w:val="18"/>
          <w:szCs w:val="18"/>
          <w:lang w:val="id-ID"/>
        </w:rPr>
        <w:t>decreas</w:t>
      </w:r>
      <w:r w:rsidR="007F16D4" w:rsidRPr="007F16D4">
        <w:rPr>
          <w:rFonts w:ascii="Arial" w:hAnsi="Arial" w:cs="Arial"/>
          <w:sz w:val="18"/>
          <w:szCs w:val="18"/>
        </w:rPr>
        <w:t xml:space="preserve">ing </w:t>
      </w:r>
      <w:r w:rsidR="007F16D4" w:rsidRPr="007F16D4">
        <w:rPr>
          <w:rFonts w:ascii="Arial" w:hAnsi="Arial" w:cs="Arial"/>
          <w:sz w:val="18"/>
          <w:szCs w:val="18"/>
          <w:lang w:val="id-ID"/>
        </w:rPr>
        <w:t xml:space="preserve">level of haemoglobin which </w:t>
      </w:r>
      <w:r w:rsidR="007F16D4" w:rsidRPr="007F16D4">
        <w:rPr>
          <w:rFonts w:ascii="Arial" w:hAnsi="Arial" w:cs="Arial"/>
          <w:sz w:val="18"/>
          <w:szCs w:val="18"/>
        </w:rPr>
        <w:t xml:space="preserve">eventually </w:t>
      </w:r>
      <w:r w:rsidR="007F16D4" w:rsidRPr="007F16D4">
        <w:rPr>
          <w:rFonts w:ascii="Arial" w:hAnsi="Arial" w:cs="Arial"/>
          <w:sz w:val="18"/>
          <w:szCs w:val="18"/>
          <w:lang w:val="id-ID"/>
        </w:rPr>
        <w:t>cause</w:t>
      </w:r>
      <w:r w:rsidR="007F16D4" w:rsidRPr="007F16D4">
        <w:rPr>
          <w:rFonts w:ascii="Arial" w:hAnsi="Arial" w:cs="Arial"/>
          <w:sz w:val="18"/>
          <w:szCs w:val="18"/>
        </w:rPr>
        <w:t>s</w:t>
      </w:r>
      <w:r w:rsidR="007F16D4" w:rsidRPr="007F16D4">
        <w:rPr>
          <w:rFonts w:ascii="Arial" w:hAnsi="Arial" w:cs="Arial"/>
          <w:sz w:val="18"/>
          <w:szCs w:val="18"/>
          <w:lang w:val="id-ID"/>
        </w:rPr>
        <w:t xml:space="preserve"> the degradation of an individual</w:t>
      </w:r>
      <w:r w:rsidR="007F16D4" w:rsidRPr="007F16D4">
        <w:rPr>
          <w:rFonts w:ascii="Arial" w:hAnsi="Arial" w:cs="Arial"/>
          <w:sz w:val="18"/>
          <w:szCs w:val="18"/>
        </w:rPr>
        <w:t xml:space="preserve">’s </w:t>
      </w:r>
      <w:r w:rsidR="007F16D4" w:rsidRPr="007F16D4">
        <w:rPr>
          <w:rFonts w:ascii="Arial" w:hAnsi="Arial" w:cs="Arial"/>
          <w:sz w:val="18"/>
          <w:szCs w:val="18"/>
          <w:lang w:val="id-ID"/>
        </w:rPr>
        <w:t xml:space="preserve">quality of life. </w:t>
      </w:r>
      <w:r w:rsidR="007F16D4" w:rsidRPr="007F16D4">
        <w:rPr>
          <w:rFonts w:ascii="Arial" w:hAnsi="Arial" w:cs="Arial"/>
          <w:sz w:val="18"/>
          <w:szCs w:val="18"/>
        </w:rPr>
        <w:t>Anemia is influenced</w:t>
      </w:r>
      <w:r w:rsidR="007F16D4" w:rsidRPr="007F16D4">
        <w:rPr>
          <w:rFonts w:ascii="Arial" w:hAnsi="Arial" w:cs="Arial"/>
          <w:sz w:val="18"/>
          <w:szCs w:val="18"/>
          <w:lang w:val="id-ID"/>
        </w:rPr>
        <w:t xml:space="preserve"> by demoghraphic condition. </w:t>
      </w:r>
      <w:r w:rsidR="007F16D4" w:rsidRPr="007F16D4">
        <w:rPr>
          <w:rFonts w:ascii="Arial" w:hAnsi="Arial" w:cs="Arial"/>
          <w:sz w:val="18"/>
          <w:szCs w:val="18"/>
        </w:rPr>
        <w:t>The p</w:t>
      </w:r>
      <w:r w:rsidR="007F16D4" w:rsidRPr="007F16D4">
        <w:rPr>
          <w:rFonts w:ascii="Arial" w:hAnsi="Arial" w:cs="Arial"/>
          <w:sz w:val="18"/>
          <w:szCs w:val="18"/>
          <w:lang w:val="id-ID"/>
        </w:rPr>
        <w:t>revalence of anemia in coast</w:t>
      </w:r>
      <w:r w:rsidR="007F16D4" w:rsidRPr="007F16D4">
        <w:rPr>
          <w:rFonts w:ascii="Arial" w:hAnsi="Arial" w:cs="Arial"/>
          <w:sz w:val="18"/>
          <w:szCs w:val="18"/>
        </w:rPr>
        <w:t xml:space="preserve">al </w:t>
      </w:r>
      <w:r w:rsidR="007F16D4" w:rsidRPr="007F16D4">
        <w:rPr>
          <w:rFonts w:ascii="Arial" w:hAnsi="Arial" w:cs="Arial"/>
          <w:sz w:val="18"/>
          <w:szCs w:val="18"/>
          <w:lang w:val="id-ID"/>
        </w:rPr>
        <w:t>area</w:t>
      </w:r>
      <w:r w:rsidR="007F16D4" w:rsidRPr="007F16D4">
        <w:rPr>
          <w:rFonts w:ascii="Arial" w:hAnsi="Arial" w:cs="Arial"/>
          <w:sz w:val="18"/>
          <w:szCs w:val="18"/>
        </w:rPr>
        <w:t>s</w:t>
      </w:r>
      <w:r w:rsidR="007F16D4" w:rsidRPr="007F16D4">
        <w:rPr>
          <w:rFonts w:ascii="Arial" w:hAnsi="Arial" w:cs="Arial"/>
          <w:sz w:val="18"/>
          <w:szCs w:val="18"/>
          <w:lang w:val="id-ID"/>
        </w:rPr>
        <w:t xml:space="preserve"> (52%) is higher than </w:t>
      </w:r>
      <w:r w:rsidR="007F16D4" w:rsidRPr="007F16D4">
        <w:rPr>
          <w:rFonts w:ascii="Arial" w:hAnsi="Arial" w:cs="Arial"/>
          <w:sz w:val="18"/>
          <w:szCs w:val="18"/>
        </w:rPr>
        <w:t xml:space="preserve">that </w:t>
      </w:r>
      <w:r w:rsidR="007F16D4" w:rsidRPr="007F16D4">
        <w:rPr>
          <w:rFonts w:ascii="Arial" w:hAnsi="Arial" w:cs="Arial"/>
          <w:sz w:val="18"/>
          <w:szCs w:val="18"/>
          <w:lang w:val="id-ID"/>
        </w:rPr>
        <w:t>in mounta</w:t>
      </w:r>
      <w:r w:rsidR="007F16D4" w:rsidRPr="007F16D4">
        <w:rPr>
          <w:rFonts w:ascii="Arial" w:hAnsi="Arial" w:cs="Arial"/>
          <w:sz w:val="18"/>
          <w:szCs w:val="18"/>
        </w:rPr>
        <w:t>i</w:t>
      </w:r>
      <w:r w:rsidR="007F16D4" w:rsidRPr="007F16D4">
        <w:rPr>
          <w:rFonts w:ascii="Arial" w:hAnsi="Arial" w:cs="Arial"/>
          <w:sz w:val="18"/>
          <w:szCs w:val="18"/>
          <w:lang w:val="id-ID"/>
        </w:rPr>
        <w:t>n</w:t>
      </w:r>
      <w:r w:rsidR="007F16D4" w:rsidRPr="007F16D4">
        <w:rPr>
          <w:rFonts w:ascii="Arial" w:hAnsi="Arial" w:cs="Arial"/>
          <w:sz w:val="18"/>
          <w:szCs w:val="18"/>
        </w:rPr>
        <w:t xml:space="preserve">ous areas </w:t>
      </w:r>
      <w:r w:rsidR="007F16D4" w:rsidRPr="007F16D4">
        <w:rPr>
          <w:rFonts w:ascii="Arial" w:hAnsi="Arial" w:cs="Arial"/>
          <w:sz w:val="18"/>
          <w:szCs w:val="18"/>
          <w:lang w:val="id-ID"/>
        </w:rPr>
        <w:t>(24%). Societ</w:t>
      </w:r>
      <w:r w:rsidR="007F16D4" w:rsidRPr="007F16D4">
        <w:rPr>
          <w:rFonts w:ascii="Arial" w:hAnsi="Arial" w:cs="Arial"/>
          <w:sz w:val="18"/>
          <w:szCs w:val="18"/>
        </w:rPr>
        <w:t xml:space="preserve">ies </w:t>
      </w:r>
      <w:r w:rsidR="007F16D4" w:rsidRPr="007F16D4">
        <w:rPr>
          <w:rFonts w:ascii="Arial" w:hAnsi="Arial" w:cs="Arial"/>
          <w:sz w:val="18"/>
          <w:szCs w:val="18"/>
          <w:lang w:val="id-ID"/>
        </w:rPr>
        <w:t>in the coast</w:t>
      </w:r>
      <w:r w:rsidR="007F16D4" w:rsidRPr="007F16D4">
        <w:rPr>
          <w:rFonts w:ascii="Arial" w:hAnsi="Arial" w:cs="Arial"/>
          <w:sz w:val="18"/>
          <w:szCs w:val="18"/>
        </w:rPr>
        <w:t xml:space="preserve">al </w:t>
      </w:r>
      <w:r w:rsidR="007F16D4" w:rsidRPr="007F16D4">
        <w:rPr>
          <w:rFonts w:ascii="Arial" w:hAnsi="Arial" w:cs="Arial"/>
          <w:sz w:val="18"/>
          <w:szCs w:val="18"/>
          <w:lang w:val="id-ID"/>
        </w:rPr>
        <w:t>area</w:t>
      </w:r>
      <w:r w:rsidR="007F16D4" w:rsidRPr="007F16D4">
        <w:rPr>
          <w:rFonts w:ascii="Arial" w:hAnsi="Arial" w:cs="Arial"/>
          <w:sz w:val="18"/>
          <w:szCs w:val="18"/>
        </w:rPr>
        <w:t>s</w:t>
      </w:r>
      <w:r w:rsidR="007F16D4" w:rsidRPr="007F16D4">
        <w:rPr>
          <w:rFonts w:ascii="Arial" w:hAnsi="Arial" w:cs="Arial"/>
          <w:sz w:val="18"/>
          <w:szCs w:val="18"/>
          <w:lang w:val="id-ID"/>
        </w:rPr>
        <w:t xml:space="preserve"> general</w:t>
      </w:r>
      <w:r w:rsidR="007F16D4" w:rsidRPr="007F16D4">
        <w:rPr>
          <w:rFonts w:ascii="Arial" w:hAnsi="Arial" w:cs="Arial"/>
          <w:sz w:val="18"/>
          <w:szCs w:val="18"/>
        </w:rPr>
        <w:t xml:space="preserve">ly </w:t>
      </w:r>
      <w:r w:rsidR="007F16D4" w:rsidRPr="007F16D4">
        <w:rPr>
          <w:rFonts w:ascii="Arial" w:hAnsi="Arial" w:cs="Arial"/>
          <w:sz w:val="18"/>
          <w:szCs w:val="18"/>
          <w:lang w:val="id-ID"/>
        </w:rPr>
        <w:t xml:space="preserve">have lower socioeconomic status and this condition </w:t>
      </w:r>
      <w:r w:rsidR="007F16D4" w:rsidRPr="007F16D4">
        <w:rPr>
          <w:rFonts w:ascii="Arial" w:hAnsi="Arial" w:cs="Arial"/>
          <w:sz w:val="18"/>
          <w:szCs w:val="18"/>
        </w:rPr>
        <w:t xml:space="preserve">plays </w:t>
      </w:r>
      <w:r w:rsidR="007F16D4" w:rsidRPr="007F16D4">
        <w:rPr>
          <w:rFonts w:ascii="Arial" w:hAnsi="Arial" w:cs="Arial"/>
          <w:sz w:val="18"/>
          <w:szCs w:val="18"/>
          <w:lang w:val="id-ID"/>
        </w:rPr>
        <w:t xml:space="preserve">a role in the incidence of anemia. </w:t>
      </w:r>
      <w:r w:rsidR="007F16D4" w:rsidRPr="007F16D4">
        <w:rPr>
          <w:rFonts w:ascii="Arial" w:hAnsi="Arial" w:cs="Arial"/>
          <w:sz w:val="18"/>
          <w:szCs w:val="18"/>
        </w:rPr>
        <w:t xml:space="preserve">The Sub-district of </w:t>
      </w:r>
      <w:r w:rsidR="007F16D4" w:rsidRPr="007F16D4">
        <w:rPr>
          <w:rFonts w:ascii="Arial" w:hAnsi="Arial" w:cs="Arial"/>
          <w:sz w:val="18"/>
          <w:szCs w:val="18"/>
          <w:lang w:val="id-ID"/>
        </w:rPr>
        <w:t xml:space="preserve">Tanjung has </w:t>
      </w:r>
      <w:r w:rsidR="007F16D4" w:rsidRPr="007F16D4">
        <w:rPr>
          <w:rFonts w:ascii="Arial" w:hAnsi="Arial" w:cs="Arial"/>
          <w:sz w:val="18"/>
          <w:szCs w:val="18"/>
        </w:rPr>
        <w:t xml:space="preserve">a </w:t>
      </w:r>
      <w:r w:rsidR="007F16D4" w:rsidRPr="007F16D4">
        <w:rPr>
          <w:rFonts w:ascii="Arial" w:hAnsi="Arial" w:cs="Arial"/>
          <w:sz w:val="18"/>
          <w:szCs w:val="18"/>
          <w:lang w:val="id-ID"/>
        </w:rPr>
        <w:t>wide coast</w:t>
      </w:r>
      <w:r w:rsidR="007F16D4" w:rsidRPr="007F16D4">
        <w:rPr>
          <w:rFonts w:ascii="Arial" w:hAnsi="Arial" w:cs="Arial"/>
          <w:sz w:val="18"/>
          <w:szCs w:val="18"/>
        </w:rPr>
        <w:t xml:space="preserve">al </w:t>
      </w:r>
      <w:r w:rsidR="007F16D4" w:rsidRPr="007F16D4">
        <w:rPr>
          <w:rFonts w:ascii="Arial" w:hAnsi="Arial" w:cs="Arial"/>
          <w:sz w:val="18"/>
          <w:szCs w:val="18"/>
          <w:lang w:val="id-ID"/>
        </w:rPr>
        <w:t>area, and there is no data on anemia status of junior high school student</w:t>
      </w:r>
      <w:r w:rsidR="007F16D4" w:rsidRPr="007F16D4">
        <w:rPr>
          <w:rFonts w:ascii="Arial" w:hAnsi="Arial" w:cs="Arial"/>
          <w:sz w:val="18"/>
          <w:szCs w:val="18"/>
        </w:rPr>
        <w:t xml:space="preserve">s </w:t>
      </w:r>
      <w:r w:rsidR="007F16D4" w:rsidRPr="007F16D4">
        <w:rPr>
          <w:rFonts w:ascii="Arial" w:hAnsi="Arial" w:cs="Arial"/>
          <w:sz w:val="18"/>
          <w:szCs w:val="18"/>
          <w:lang w:val="id-ID"/>
        </w:rPr>
        <w:t xml:space="preserve">in this area. The cause of anemia can be observed from the erythrocyte index. </w:t>
      </w:r>
      <w:r w:rsidR="007F16D4" w:rsidRPr="007F16D4">
        <w:rPr>
          <w:rFonts w:ascii="Arial" w:hAnsi="Arial" w:cs="Arial"/>
          <w:sz w:val="18"/>
          <w:szCs w:val="18"/>
        </w:rPr>
        <w:t xml:space="preserve">Accordingly, </w:t>
      </w:r>
      <w:r w:rsidR="007F16D4" w:rsidRPr="007F16D4">
        <w:rPr>
          <w:rFonts w:ascii="Arial" w:hAnsi="Arial" w:cs="Arial"/>
          <w:sz w:val="18"/>
          <w:szCs w:val="18"/>
          <w:lang w:val="id-ID"/>
        </w:rPr>
        <w:t xml:space="preserve">the profile of anemia based on the erythrocyte index </w:t>
      </w:r>
      <w:r w:rsidR="007F16D4" w:rsidRPr="007F16D4">
        <w:rPr>
          <w:rFonts w:ascii="Arial" w:hAnsi="Arial" w:cs="Arial"/>
          <w:sz w:val="18"/>
          <w:szCs w:val="18"/>
        </w:rPr>
        <w:t xml:space="preserve">of the </w:t>
      </w:r>
      <w:r w:rsidR="007F16D4" w:rsidRPr="007F16D4">
        <w:rPr>
          <w:rFonts w:ascii="Arial" w:hAnsi="Arial" w:cs="Arial"/>
          <w:sz w:val="18"/>
          <w:szCs w:val="18"/>
          <w:lang w:val="id-ID"/>
        </w:rPr>
        <w:t>junior high school student</w:t>
      </w:r>
      <w:r w:rsidR="007F16D4" w:rsidRPr="007F16D4">
        <w:rPr>
          <w:rFonts w:ascii="Arial" w:hAnsi="Arial" w:cs="Arial"/>
          <w:sz w:val="18"/>
          <w:szCs w:val="18"/>
        </w:rPr>
        <w:t xml:space="preserve">s </w:t>
      </w:r>
      <w:r w:rsidR="007F16D4" w:rsidRPr="007F16D4">
        <w:rPr>
          <w:rFonts w:ascii="Arial" w:hAnsi="Arial" w:cs="Arial"/>
          <w:sz w:val="18"/>
          <w:szCs w:val="18"/>
          <w:lang w:val="id-ID"/>
        </w:rPr>
        <w:t xml:space="preserve">in </w:t>
      </w:r>
      <w:r w:rsidR="007F16D4" w:rsidRPr="007F16D4">
        <w:rPr>
          <w:rFonts w:ascii="Arial" w:hAnsi="Arial" w:cs="Arial"/>
          <w:sz w:val="18"/>
          <w:szCs w:val="18"/>
        </w:rPr>
        <w:t xml:space="preserve">the </w:t>
      </w:r>
      <w:r w:rsidR="007F16D4" w:rsidRPr="007F16D4">
        <w:rPr>
          <w:rFonts w:ascii="Arial" w:hAnsi="Arial" w:cs="Arial"/>
          <w:sz w:val="18"/>
          <w:szCs w:val="18"/>
          <w:lang w:val="id-ID"/>
        </w:rPr>
        <w:t>coast</w:t>
      </w:r>
      <w:r w:rsidR="007F16D4" w:rsidRPr="007F16D4">
        <w:rPr>
          <w:rFonts w:ascii="Arial" w:hAnsi="Arial" w:cs="Arial"/>
          <w:sz w:val="18"/>
          <w:szCs w:val="18"/>
        </w:rPr>
        <w:t>al</w:t>
      </w:r>
      <w:r w:rsidR="007F16D4" w:rsidRPr="007F16D4">
        <w:rPr>
          <w:rFonts w:ascii="Arial" w:hAnsi="Arial" w:cs="Arial"/>
          <w:sz w:val="18"/>
          <w:szCs w:val="18"/>
          <w:lang w:val="id-ID"/>
        </w:rPr>
        <w:t xml:space="preserve"> area</w:t>
      </w:r>
      <w:r w:rsidR="007F16D4" w:rsidRPr="007F16D4">
        <w:rPr>
          <w:rFonts w:ascii="Arial" w:hAnsi="Arial" w:cs="Arial"/>
          <w:sz w:val="18"/>
          <w:szCs w:val="18"/>
        </w:rPr>
        <w:t xml:space="preserve">s of </w:t>
      </w:r>
      <w:r w:rsidR="007F16D4" w:rsidRPr="007F16D4">
        <w:rPr>
          <w:rFonts w:ascii="Arial" w:hAnsi="Arial" w:cs="Arial"/>
          <w:sz w:val="18"/>
          <w:szCs w:val="18"/>
          <w:lang w:val="id-ID"/>
        </w:rPr>
        <w:t>Tanjung</w:t>
      </w:r>
      <w:r w:rsidR="007F16D4" w:rsidRPr="007F16D4">
        <w:rPr>
          <w:rFonts w:ascii="Arial" w:hAnsi="Arial" w:cs="Arial"/>
          <w:sz w:val="18"/>
          <w:szCs w:val="18"/>
        </w:rPr>
        <w:t xml:space="preserve"> needs to be researched</w:t>
      </w:r>
      <w:r w:rsidRPr="007F16D4">
        <w:rPr>
          <w:rFonts w:ascii="Arial" w:hAnsi="Arial" w:cs="Arial"/>
          <w:sz w:val="18"/>
          <w:szCs w:val="18"/>
          <w:lang w:val="id-ID"/>
        </w:rPr>
        <w:t xml:space="preserve">. </w:t>
      </w:r>
    </w:p>
    <w:p w:rsidR="00587721" w:rsidRDefault="0030769C" w:rsidP="00BE176D">
      <w:pPr>
        <w:ind w:right="13"/>
        <w:jc w:val="both"/>
        <w:rPr>
          <w:rFonts w:ascii="Arial" w:hAnsi="Arial" w:cs="Arial"/>
          <w:bCs/>
          <w:sz w:val="18"/>
          <w:szCs w:val="18"/>
          <w:lang w:val="id-ID"/>
        </w:rPr>
      </w:pPr>
      <w:r w:rsidRPr="007D2CFD">
        <w:rPr>
          <w:rFonts w:ascii="Arial" w:hAnsi="Arial" w:cs="Arial"/>
          <w:b/>
          <w:i/>
          <w:sz w:val="18"/>
          <w:szCs w:val="18"/>
        </w:rPr>
        <w:t>Method</w:t>
      </w:r>
      <w:r w:rsidRPr="007D2CFD">
        <w:rPr>
          <w:rFonts w:ascii="Arial" w:hAnsi="Arial" w:cs="Arial"/>
          <w:i/>
          <w:sz w:val="18"/>
          <w:szCs w:val="18"/>
        </w:rPr>
        <w:t>:</w:t>
      </w:r>
      <w:r w:rsidR="007F16D4">
        <w:rPr>
          <w:rFonts w:ascii="Arial" w:hAnsi="Arial" w:cs="Arial"/>
          <w:i/>
          <w:sz w:val="18"/>
          <w:szCs w:val="18"/>
          <w:lang w:val="id-ID"/>
        </w:rPr>
        <w:t xml:space="preserve"> </w:t>
      </w:r>
      <w:r w:rsidR="007F16D4" w:rsidRPr="007F16D4">
        <w:rPr>
          <w:rFonts w:ascii="Arial" w:hAnsi="Arial" w:cs="Arial"/>
          <w:bCs/>
          <w:sz w:val="18"/>
          <w:szCs w:val="18"/>
          <w:lang w:val="id-ID"/>
        </w:rPr>
        <w:t xml:space="preserve">This research is </w:t>
      </w:r>
      <w:r w:rsidR="007F16D4" w:rsidRPr="007F16D4">
        <w:rPr>
          <w:rFonts w:ascii="Arial" w:hAnsi="Arial" w:cs="Arial"/>
          <w:bCs/>
          <w:sz w:val="18"/>
          <w:szCs w:val="18"/>
        </w:rPr>
        <w:t xml:space="preserve">a </w:t>
      </w:r>
      <w:r w:rsidR="007F16D4" w:rsidRPr="007F16D4">
        <w:rPr>
          <w:rFonts w:ascii="Arial" w:hAnsi="Arial" w:cs="Arial"/>
          <w:bCs/>
          <w:sz w:val="18"/>
          <w:szCs w:val="18"/>
          <w:lang w:val="id-ID"/>
        </w:rPr>
        <w:t>cross sectional design</w:t>
      </w:r>
      <w:r w:rsidR="007F16D4" w:rsidRPr="007F16D4">
        <w:rPr>
          <w:rFonts w:ascii="Arial" w:hAnsi="Arial" w:cs="Arial"/>
          <w:bCs/>
          <w:sz w:val="18"/>
          <w:szCs w:val="18"/>
        </w:rPr>
        <w:t xml:space="preserve"> study</w:t>
      </w:r>
      <w:r w:rsidR="007F16D4" w:rsidRPr="007F16D4">
        <w:rPr>
          <w:rFonts w:ascii="Arial" w:hAnsi="Arial" w:cs="Arial"/>
          <w:bCs/>
          <w:sz w:val="18"/>
          <w:szCs w:val="18"/>
          <w:lang w:val="id-ID"/>
        </w:rPr>
        <w:t xml:space="preserve">. </w:t>
      </w:r>
      <w:r w:rsidR="007F16D4" w:rsidRPr="007F16D4">
        <w:rPr>
          <w:rFonts w:ascii="Arial" w:hAnsi="Arial" w:cs="Arial"/>
          <w:bCs/>
          <w:sz w:val="18"/>
          <w:szCs w:val="18"/>
        </w:rPr>
        <w:t xml:space="preserve">Samples are taken through </w:t>
      </w:r>
      <w:r w:rsidR="007F16D4" w:rsidRPr="007F16D4">
        <w:rPr>
          <w:rFonts w:ascii="Arial" w:hAnsi="Arial" w:cs="Arial"/>
          <w:bCs/>
          <w:sz w:val="18"/>
          <w:szCs w:val="18"/>
          <w:lang w:val="id-ID"/>
        </w:rPr>
        <w:t>total sampling met</w:t>
      </w:r>
      <w:r w:rsidR="007F16D4" w:rsidRPr="007F16D4">
        <w:rPr>
          <w:rFonts w:ascii="Arial" w:hAnsi="Arial" w:cs="Arial"/>
          <w:bCs/>
          <w:sz w:val="18"/>
          <w:szCs w:val="18"/>
        </w:rPr>
        <w:t>h</w:t>
      </w:r>
      <w:r w:rsidR="007F16D4" w:rsidRPr="007F16D4">
        <w:rPr>
          <w:rFonts w:ascii="Arial" w:hAnsi="Arial" w:cs="Arial"/>
          <w:bCs/>
          <w:sz w:val="18"/>
          <w:szCs w:val="18"/>
          <w:lang w:val="id-ID"/>
        </w:rPr>
        <w:t>od</w:t>
      </w:r>
      <w:r w:rsidR="007F16D4" w:rsidRPr="007F16D4">
        <w:rPr>
          <w:rFonts w:ascii="Arial" w:hAnsi="Arial" w:cs="Arial"/>
          <w:bCs/>
          <w:sz w:val="18"/>
          <w:szCs w:val="18"/>
        </w:rPr>
        <w:t>. Ou</w:t>
      </w:r>
      <w:r w:rsidR="007F16D4" w:rsidRPr="007F16D4">
        <w:rPr>
          <w:rFonts w:ascii="Arial" w:hAnsi="Arial" w:cs="Arial"/>
          <w:bCs/>
          <w:sz w:val="18"/>
          <w:szCs w:val="18"/>
          <w:lang w:val="id-ID"/>
        </w:rPr>
        <w:t>t</w:t>
      </w:r>
      <w:r w:rsidR="007F16D4" w:rsidRPr="007F16D4">
        <w:rPr>
          <w:rFonts w:ascii="Arial" w:hAnsi="Arial" w:cs="Arial"/>
          <w:bCs/>
          <w:sz w:val="18"/>
          <w:szCs w:val="18"/>
        </w:rPr>
        <w:t xml:space="preserve"> of </w:t>
      </w:r>
      <w:r w:rsidR="007F16D4" w:rsidRPr="007F16D4">
        <w:rPr>
          <w:rFonts w:ascii="Arial" w:hAnsi="Arial" w:cs="Arial"/>
          <w:bCs/>
          <w:sz w:val="18"/>
          <w:szCs w:val="18"/>
          <w:lang w:val="id-ID"/>
        </w:rPr>
        <w:t xml:space="preserve">354 students in SMPN 2 Tanjung, </w:t>
      </w:r>
      <w:r w:rsidR="007F16D4" w:rsidRPr="007F16D4">
        <w:rPr>
          <w:rFonts w:ascii="Arial" w:hAnsi="Arial" w:cs="Arial"/>
          <w:bCs/>
          <w:sz w:val="18"/>
          <w:szCs w:val="18"/>
        </w:rPr>
        <w:t xml:space="preserve">those </w:t>
      </w:r>
      <w:r w:rsidR="007F16D4" w:rsidRPr="007F16D4">
        <w:rPr>
          <w:rFonts w:ascii="Arial" w:hAnsi="Arial" w:cs="Arial"/>
          <w:bCs/>
          <w:sz w:val="18"/>
          <w:szCs w:val="18"/>
          <w:lang w:val="id-ID"/>
        </w:rPr>
        <w:t>meet</w:t>
      </w:r>
      <w:r w:rsidR="007F16D4" w:rsidRPr="007F16D4">
        <w:rPr>
          <w:rFonts w:ascii="Arial" w:hAnsi="Arial" w:cs="Arial"/>
          <w:bCs/>
          <w:sz w:val="18"/>
          <w:szCs w:val="18"/>
        </w:rPr>
        <w:t>ing</w:t>
      </w:r>
      <w:r w:rsidR="007F16D4" w:rsidRPr="007F16D4">
        <w:rPr>
          <w:rFonts w:ascii="Arial" w:hAnsi="Arial" w:cs="Arial"/>
          <w:bCs/>
          <w:sz w:val="18"/>
          <w:szCs w:val="18"/>
          <w:lang w:val="id-ID"/>
        </w:rPr>
        <w:t xml:space="preserve"> the inclusion </w:t>
      </w:r>
      <w:r w:rsidR="007F16D4" w:rsidRPr="007F16D4">
        <w:rPr>
          <w:rFonts w:ascii="Arial" w:hAnsi="Arial" w:cs="Arial"/>
          <w:bCs/>
          <w:sz w:val="18"/>
          <w:szCs w:val="18"/>
        </w:rPr>
        <w:t xml:space="preserve">and exclusion </w:t>
      </w:r>
      <w:r w:rsidR="007F16D4" w:rsidRPr="007F16D4">
        <w:rPr>
          <w:rFonts w:ascii="Arial" w:hAnsi="Arial" w:cs="Arial"/>
          <w:bCs/>
          <w:sz w:val="18"/>
          <w:szCs w:val="18"/>
          <w:lang w:val="id-ID"/>
        </w:rPr>
        <w:t>criteria are 201 responden</w:t>
      </w:r>
      <w:r w:rsidR="007F16D4" w:rsidRPr="007F16D4">
        <w:rPr>
          <w:rFonts w:ascii="Arial" w:hAnsi="Arial" w:cs="Arial"/>
          <w:bCs/>
          <w:sz w:val="18"/>
          <w:szCs w:val="18"/>
        </w:rPr>
        <w:t>ts</w:t>
      </w:r>
      <w:r w:rsidR="007F16D4" w:rsidRPr="007F16D4">
        <w:rPr>
          <w:rFonts w:ascii="Arial" w:hAnsi="Arial" w:cs="Arial"/>
          <w:bCs/>
          <w:sz w:val="18"/>
          <w:szCs w:val="18"/>
          <w:lang w:val="id-ID"/>
        </w:rPr>
        <w:t>. Data</w:t>
      </w:r>
      <w:r w:rsidR="007F16D4" w:rsidRPr="007F16D4">
        <w:rPr>
          <w:rFonts w:ascii="Arial" w:hAnsi="Arial" w:cs="Arial"/>
          <w:bCs/>
          <w:sz w:val="18"/>
          <w:szCs w:val="18"/>
        </w:rPr>
        <w:t xml:space="preserve"> is</w:t>
      </w:r>
      <w:r w:rsidR="007F16D4" w:rsidRPr="007F16D4">
        <w:rPr>
          <w:rFonts w:ascii="Arial" w:hAnsi="Arial" w:cs="Arial"/>
          <w:bCs/>
          <w:sz w:val="18"/>
          <w:szCs w:val="18"/>
          <w:lang w:val="id-ID"/>
        </w:rPr>
        <w:t xml:space="preserve"> collected </w:t>
      </w:r>
      <w:r w:rsidR="007F16D4" w:rsidRPr="007F16D4">
        <w:rPr>
          <w:rFonts w:ascii="Arial" w:hAnsi="Arial" w:cs="Arial"/>
          <w:bCs/>
          <w:sz w:val="18"/>
          <w:szCs w:val="18"/>
        </w:rPr>
        <w:t xml:space="preserve">through </w:t>
      </w:r>
      <w:r w:rsidR="007F16D4" w:rsidRPr="007F16D4">
        <w:rPr>
          <w:rFonts w:ascii="Arial" w:hAnsi="Arial" w:cs="Arial"/>
          <w:bCs/>
          <w:sz w:val="18"/>
          <w:szCs w:val="18"/>
          <w:lang w:val="id-ID"/>
        </w:rPr>
        <w:t>question</w:t>
      </w:r>
      <w:r w:rsidR="007F16D4" w:rsidRPr="007F16D4">
        <w:rPr>
          <w:rFonts w:ascii="Arial" w:hAnsi="Arial" w:cs="Arial"/>
          <w:bCs/>
          <w:sz w:val="18"/>
          <w:szCs w:val="18"/>
        </w:rPr>
        <w:t>n</w:t>
      </w:r>
      <w:r w:rsidR="007F16D4" w:rsidRPr="007F16D4">
        <w:rPr>
          <w:rFonts w:ascii="Arial" w:hAnsi="Arial" w:cs="Arial"/>
          <w:bCs/>
          <w:sz w:val="18"/>
          <w:szCs w:val="18"/>
          <w:lang w:val="id-ID"/>
        </w:rPr>
        <w:t>air</w:t>
      </w:r>
      <w:r w:rsidR="007F16D4" w:rsidRPr="007F16D4">
        <w:rPr>
          <w:rFonts w:ascii="Arial" w:hAnsi="Arial" w:cs="Arial"/>
          <w:bCs/>
          <w:sz w:val="18"/>
          <w:szCs w:val="18"/>
        </w:rPr>
        <w:t>es</w:t>
      </w:r>
      <w:r w:rsidR="007F16D4" w:rsidRPr="007F16D4">
        <w:rPr>
          <w:rFonts w:ascii="Arial" w:hAnsi="Arial" w:cs="Arial"/>
          <w:bCs/>
          <w:sz w:val="18"/>
          <w:szCs w:val="18"/>
          <w:lang w:val="id-ID"/>
        </w:rPr>
        <w:t xml:space="preserve"> and blood sample of </w:t>
      </w:r>
      <w:r w:rsidR="007F16D4" w:rsidRPr="007F16D4">
        <w:rPr>
          <w:rFonts w:ascii="Arial" w:hAnsi="Arial" w:cs="Arial"/>
          <w:bCs/>
          <w:sz w:val="18"/>
          <w:szCs w:val="18"/>
        </w:rPr>
        <w:t xml:space="preserve">the </w:t>
      </w:r>
      <w:r w:rsidR="007F16D4" w:rsidRPr="007F16D4">
        <w:rPr>
          <w:rFonts w:ascii="Arial" w:hAnsi="Arial" w:cs="Arial"/>
          <w:bCs/>
          <w:sz w:val="18"/>
          <w:szCs w:val="18"/>
          <w:lang w:val="id-ID"/>
        </w:rPr>
        <w:t>responden</w:t>
      </w:r>
      <w:r w:rsidR="007F16D4" w:rsidRPr="007F16D4">
        <w:rPr>
          <w:rFonts w:ascii="Arial" w:hAnsi="Arial" w:cs="Arial"/>
          <w:bCs/>
          <w:sz w:val="18"/>
          <w:szCs w:val="18"/>
        </w:rPr>
        <w:t>ts</w:t>
      </w:r>
      <w:r w:rsidR="007F16D4" w:rsidRPr="007F16D4">
        <w:rPr>
          <w:rFonts w:ascii="Arial" w:hAnsi="Arial" w:cs="Arial"/>
          <w:bCs/>
          <w:sz w:val="18"/>
          <w:szCs w:val="18"/>
          <w:lang w:val="id-ID"/>
        </w:rPr>
        <w:t>. Data is analyzed using univariat statistic analysis.</w:t>
      </w:r>
    </w:p>
    <w:p w:rsidR="00587721" w:rsidRDefault="007F16D4" w:rsidP="002B3161">
      <w:pPr>
        <w:ind w:right="13"/>
        <w:jc w:val="both"/>
        <w:rPr>
          <w:rFonts w:ascii="Arial" w:hAnsi="Arial" w:cs="Arial"/>
          <w:sz w:val="18"/>
          <w:szCs w:val="18"/>
          <w:lang w:val="id-ID"/>
        </w:rPr>
      </w:pPr>
      <w:r>
        <w:rPr>
          <w:rFonts w:ascii="Arial" w:hAnsi="Arial" w:cs="Arial"/>
          <w:b/>
          <w:i/>
          <w:sz w:val="18"/>
          <w:szCs w:val="18"/>
        </w:rPr>
        <w:t>Result</w:t>
      </w:r>
      <w:r w:rsidR="0030769C" w:rsidRPr="007D2CFD">
        <w:rPr>
          <w:rFonts w:ascii="Arial" w:hAnsi="Arial" w:cs="Arial"/>
          <w:b/>
          <w:i/>
          <w:sz w:val="18"/>
          <w:szCs w:val="18"/>
        </w:rPr>
        <w:t>:</w:t>
      </w:r>
      <w:r>
        <w:rPr>
          <w:rFonts w:ascii="Arial" w:hAnsi="Arial" w:cs="Arial"/>
          <w:b/>
          <w:i/>
          <w:sz w:val="18"/>
          <w:szCs w:val="18"/>
          <w:lang w:val="id-ID"/>
        </w:rPr>
        <w:t xml:space="preserve"> </w:t>
      </w:r>
      <w:r w:rsidRPr="007F16D4">
        <w:rPr>
          <w:rFonts w:ascii="Arial" w:hAnsi="Arial" w:cs="Arial"/>
          <w:sz w:val="18"/>
          <w:szCs w:val="18"/>
          <w:lang w:val="id-ID"/>
        </w:rPr>
        <w:t>Treshold level of normal Hb in the population of junior high school student</w:t>
      </w:r>
      <w:r w:rsidRPr="007F16D4">
        <w:rPr>
          <w:rFonts w:ascii="Arial" w:hAnsi="Arial" w:cs="Arial"/>
          <w:sz w:val="18"/>
          <w:szCs w:val="18"/>
        </w:rPr>
        <w:t>s</w:t>
      </w:r>
      <w:r w:rsidRPr="007F16D4">
        <w:rPr>
          <w:rFonts w:ascii="Arial" w:hAnsi="Arial" w:cs="Arial"/>
          <w:sz w:val="18"/>
          <w:szCs w:val="18"/>
          <w:lang w:val="id-ID"/>
        </w:rPr>
        <w:t xml:space="preserve"> in Tanjung is 13</w:t>
      </w:r>
      <w:r w:rsidRPr="007F16D4">
        <w:rPr>
          <w:rFonts w:ascii="Arial" w:hAnsi="Arial" w:cs="Arial"/>
          <w:sz w:val="18"/>
          <w:szCs w:val="18"/>
        </w:rPr>
        <w:t>.</w:t>
      </w:r>
      <w:r w:rsidRPr="007F16D4">
        <w:rPr>
          <w:rFonts w:ascii="Arial" w:hAnsi="Arial" w:cs="Arial"/>
          <w:sz w:val="18"/>
          <w:szCs w:val="18"/>
          <w:lang w:val="id-ID"/>
        </w:rPr>
        <w:t>11 ± SD 1</w:t>
      </w:r>
      <w:r w:rsidRPr="007F16D4">
        <w:rPr>
          <w:rFonts w:ascii="Arial" w:hAnsi="Arial" w:cs="Arial"/>
          <w:sz w:val="18"/>
          <w:szCs w:val="18"/>
        </w:rPr>
        <w:t>.</w:t>
      </w:r>
      <w:r w:rsidRPr="007F16D4">
        <w:rPr>
          <w:rFonts w:ascii="Arial" w:hAnsi="Arial" w:cs="Arial"/>
          <w:sz w:val="18"/>
          <w:szCs w:val="18"/>
          <w:lang w:val="id-ID"/>
        </w:rPr>
        <w:t>11</w:t>
      </w:r>
      <w:r w:rsidRPr="007F16D4">
        <w:rPr>
          <w:rFonts w:ascii="Arial" w:hAnsi="Arial" w:cs="Arial"/>
          <w:sz w:val="18"/>
          <w:szCs w:val="18"/>
        </w:rPr>
        <w:t xml:space="preserve"> g/dl</w:t>
      </w:r>
      <w:r w:rsidRPr="007F16D4">
        <w:rPr>
          <w:rFonts w:ascii="Arial" w:hAnsi="Arial" w:cs="Arial"/>
          <w:sz w:val="18"/>
          <w:szCs w:val="18"/>
          <w:lang w:val="id-ID"/>
        </w:rPr>
        <w:t xml:space="preserve">. </w:t>
      </w:r>
      <w:r w:rsidRPr="007F16D4">
        <w:rPr>
          <w:rFonts w:ascii="Arial" w:hAnsi="Arial" w:cs="Arial"/>
          <w:sz w:val="18"/>
          <w:szCs w:val="18"/>
        </w:rPr>
        <w:t xml:space="preserve">Among the </w:t>
      </w:r>
      <w:r w:rsidRPr="007F16D4">
        <w:rPr>
          <w:rFonts w:ascii="Arial" w:hAnsi="Arial" w:cs="Arial"/>
          <w:sz w:val="18"/>
          <w:szCs w:val="18"/>
          <w:lang w:val="id-ID"/>
        </w:rPr>
        <w:t>201 responde</w:t>
      </w:r>
      <w:r w:rsidRPr="007F16D4">
        <w:rPr>
          <w:rFonts w:ascii="Arial" w:hAnsi="Arial" w:cs="Arial"/>
          <w:sz w:val="18"/>
          <w:szCs w:val="18"/>
        </w:rPr>
        <w:t>nt</w:t>
      </w:r>
      <w:r w:rsidRPr="007F16D4">
        <w:rPr>
          <w:rFonts w:ascii="Arial" w:hAnsi="Arial" w:cs="Arial"/>
          <w:sz w:val="18"/>
          <w:szCs w:val="18"/>
          <w:lang w:val="id-ID"/>
        </w:rPr>
        <w:t xml:space="preserve">s, 26 </w:t>
      </w:r>
      <w:r w:rsidRPr="007F16D4">
        <w:rPr>
          <w:rFonts w:ascii="Arial" w:hAnsi="Arial" w:cs="Arial"/>
          <w:sz w:val="18"/>
          <w:szCs w:val="18"/>
        </w:rPr>
        <w:t xml:space="preserve">of them suffer from </w:t>
      </w:r>
      <w:r w:rsidRPr="007F16D4">
        <w:rPr>
          <w:rFonts w:ascii="Arial" w:hAnsi="Arial" w:cs="Arial"/>
          <w:sz w:val="18"/>
          <w:szCs w:val="18"/>
          <w:lang w:val="id-ID"/>
        </w:rPr>
        <w:t>anemia</w:t>
      </w:r>
      <w:r w:rsidRPr="007F16D4">
        <w:rPr>
          <w:rFonts w:ascii="Arial" w:hAnsi="Arial" w:cs="Arial"/>
          <w:sz w:val="18"/>
          <w:szCs w:val="18"/>
        </w:rPr>
        <w:t xml:space="preserve">; </w:t>
      </w:r>
      <w:r w:rsidRPr="007F16D4">
        <w:rPr>
          <w:rFonts w:ascii="Arial" w:hAnsi="Arial" w:cs="Arial"/>
          <w:sz w:val="18"/>
          <w:szCs w:val="18"/>
          <w:lang w:val="id-ID"/>
        </w:rPr>
        <w:t xml:space="preserve">15 </w:t>
      </w:r>
      <w:r w:rsidRPr="007F16D4">
        <w:rPr>
          <w:rFonts w:ascii="Arial" w:hAnsi="Arial" w:cs="Arial"/>
          <w:sz w:val="18"/>
          <w:szCs w:val="18"/>
        </w:rPr>
        <w:t xml:space="preserve">of which </w:t>
      </w:r>
      <w:r w:rsidRPr="007F16D4">
        <w:rPr>
          <w:rFonts w:ascii="Arial" w:hAnsi="Arial" w:cs="Arial"/>
          <w:sz w:val="18"/>
          <w:szCs w:val="18"/>
          <w:lang w:val="id-ID"/>
        </w:rPr>
        <w:t>are female (57</w:t>
      </w:r>
      <w:r w:rsidRPr="007F16D4">
        <w:rPr>
          <w:rFonts w:ascii="Arial" w:hAnsi="Arial" w:cs="Arial"/>
          <w:sz w:val="18"/>
          <w:szCs w:val="18"/>
        </w:rPr>
        <w:t>.</w:t>
      </w:r>
      <w:r w:rsidRPr="007F16D4">
        <w:rPr>
          <w:rFonts w:ascii="Arial" w:hAnsi="Arial" w:cs="Arial"/>
          <w:sz w:val="18"/>
          <w:szCs w:val="18"/>
          <w:lang w:val="id-ID"/>
        </w:rPr>
        <w:t>7%) and 11 are male (42</w:t>
      </w:r>
      <w:r w:rsidRPr="007F16D4">
        <w:rPr>
          <w:rFonts w:ascii="Arial" w:hAnsi="Arial" w:cs="Arial"/>
          <w:sz w:val="18"/>
          <w:szCs w:val="18"/>
        </w:rPr>
        <w:t>.</w:t>
      </w:r>
      <w:r w:rsidRPr="007F16D4">
        <w:rPr>
          <w:rFonts w:ascii="Arial" w:hAnsi="Arial" w:cs="Arial"/>
          <w:sz w:val="18"/>
          <w:szCs w:val="18"/>
          <w:lang w:val="id-ID"/>
        </w:rPr>
        <w:t>31%). Based on the inde</w:t>
      </w:r>
      <w:r w:rsidRPr="007F16D4">
        <w:rPr>
          <w:rFonts w:ascii="Arial" w:hAnsi="Arial" w:cs="Arial"/>
          <w:sz w:val="18"/>
          <w:szCs w:val="18"/>
        </w:rPr>
        <w:t xml:space="preserve">x </w:t>
      </w:r>
      <w:r w:rsidRPr="007F16D4">
        <w:rPr>
          <w:rFonts w:ascii="Arial" w:hAnsi="Arial" w:cs="Arial"/>
          <w:sz w:val="18"/>
          <w:szCs w:val="18"/>
          <w:lang w:val="id-ID"/>
        </w:rPr>
        <w:t>of erythrocyte, 10 responde</w:t>
      </w:r>
      <w:r w:rsidRPr="007F16D4">
        <w:rPr>
          <w:rFonts w:ascii="Arial" w:hAnsi="Arial" w:cs="Arial"/>
          <w:sz w:val="18"/>
          <w:szCs w:val="18"/>
        </w:rPr>
        <w:t>nt</w:t>
      </w:r>
      <w:r w:rsidRPr="007F16D4">
        <w:rPr>
          <w:rFonts w:ascii="Arial" w:hAnsi="Arial" w:cs="Arial"/>
          <w:sz w:val="18"/>
          <w:szCs w:val="18"/>
          <w:lang w:val="id-ID"/>
        </w:rPr>
        <w:t>s (38</w:t>
      </w:r>
      <w:r w:rsidRPr="007F16D4">
        <w:rPr>
          <w:rFonts w:ascii="Arial" w:hAnsi="Arial" w:cs="Arial"/>
          <w:sz w:val="18"/>
          <w:szCs w:val="18"/>
        </w:rPr>
        <w:t>.</w:t>
      </w:r>
      <w:r w:rsidRPr="007F16D4">
        <w:rPr>
          <w:rFonts w:ascii="Arial" w:hAnsi="Arial" w:cs="Arial"/>
          <w:sz w:val="18"/>
          <w:szCs w:val="18"/>
          <w:lang w:val="id-ID"/>
        </w:rPr>
        <w:t>46%) show</w:t>
      </w:r>
      <w:r w:rsidRPr="007F16D4">
        <w:rPr>
          <w:rFonts w:ascii="Arial" w:hAnsi="Arial" w:cs="Arial"/>
          <w:sz w:val="18"/>
          <w:szCs w:val="18"/>
        </w:rPr>
        <w:t xml:space="preserve"> </w:t>
      </w:r>
      <w:r w:rsidRPr="007F16D4">
        <w:rPr>
          <w:rFonts w:ascii="Arial" w:hAnsi="Arial" w:cs="Arial"/>
          <w:sz w:val="18"/>
          <w:szCs w:val="18"/>
          <w:lang w:val="id-ID"/>
        </w:rPr>
        <w:t>the picture</w:t>
      </w:r>
      <w:r w:rsidRPr="007F16D4">
        <w:rPr>
          <w:rFonts w:ascii="Arial" w:hAnsi="Arial" w:cs="Arial"/>
          <w:sz w:val="18"/>
          <w:szCs w:val="18"/>
        </w:rPr>
        <w:t xml:space="preserve"> </w:t>
      </w:r>
      <w:r w:rsidRPr="007F16D4">
        <w:rPr>
          <w:rFonts w:ascii="Arial" w:hAnsi="Arial" w:cs="Arial"/>
          <w:sz w:val="18"/>
          <w:szCs w:val="18"/>
          <w:lang w:val="id-ID"/>
        </w:rPr>
        <w:t>of normocytic hypocromic, and 16 responde</w:t>
      </w:r>
      <w:r w:rsidRPr="007F16D4">
        <w:rPr>
          <w:rFonts w:ascii="Arial" w:hAnsi="Arial" w:cs="Arial"/>
          <w:sz w:val="18"/>
          <w:szCs w:val="18"/>
        </w:rPr>
        <w:t>nt</w:t>
      </w:r>
      <w:r w:rsidRPr="007F16D4">
        <w:rPr>
          <w:rFonts w:ascii="Arial" w:hAnsi="Arial" w:cs="Arial"/>
          <w:sz w:val="18"/>
          <w:szCs w:val="18"/>
          <w:lang w:val="id-ID"/>
        </w:rPr>
        <w:t>s (61</w:t>
      </w:r>
      <w:r w:rsidRPr="007F16D4">
        <w:rPr>
          <w:rFonts w:ascii="Arial" w:hAnsi="Arial" w:cs="Arial"/>
          <w:sz w:val="18"/>
          <w:szCs w:val="18"/>
        </w:rPr>
        <w:t>.</w:t>
      </w:r>
      <w:r w:rsidRPr="007F16D4">
        <w:rPr>
          <w:rFonts w:ascii="Arial" w:hAnsi="Arial" w:cs="Arial"/>
          <w:sz w:val="18"/>
          <w:szCs w:val="18"/>
          <w:lang w:val="id-ID"/>
        </w:rPr>
        <w:t xml:space="preserve">5 %) </w:t>
      </w:r>
      <w:r w:rsidRPr="007F16D4">
        <w:rPr>
          <w:rFonts w:ascii="Arial" w:hAnsi="Arial" w:cs="Arial"/>
          <w:sz w:val="18"/>
          <w:szCs w:val="18"/>
        </w:rPr>
        <w:t xml:space="preserve">indicate the </w:t>
      </w:r>
      <w:r w:rsidRPr="007F16D4">
        <w:rPr>
          <w:rFonts w:ascii="Arial" w:hAnsi="Arial" w:cs="Arial"/>
          <w:sz w:val="18"/>
          <w:szCs w:val="18"/>
          <w:lang w:val="id-ID"/>
        </w:rPr>
        <w:t xml:space="preserve">microcytic hypocromic </w:t>
      </w:r>
      <w:r w:rsidRPr="007F16D4">
        <w:rPr>
          <w:rFonts w:ascii="Arial" w:hAnsi="Arial" w:cs="Arial"/>
          <w:sz w:val="18"/>
          <w:szCs w:val="18"/>
        </w:rPr>
        <w:t xml:space="preserve">type of </w:t>
      </w:r>
      <w:r w:rsidRPr="007F16D4">
        <w:rPr>
          <w:rFonts w:ascii="Arial" w:hAnsi="Arial" w:cs="Arial"/>
          <w:sz w:val="18"/>
          <w:szCs w:val="18"/>
          <w:lang w:val="id-ID"/>
        </w:rPr>
        <w:t>anemia.</w:t>
      </w:r>
    </w:p>
    <w:p w:rsidR="007F16D4" w:rsidRPr="007F16D4" w:rsidRDefault="0030769C" w:rsidP="002B3161">
      <w:pPr>
        <w:ind w:right="13"/>
        <w:jc w:val="both"/>
        <w:rPr>
          <w:rFonts w:ascii="Arial" w:hAnsi="Arial" w:cs="Arial"/>
          <w:b/>
          <w:i/>
          <w:sz w:val="18"/>
          <w:szCs w:val="18"/>
          <w:lang w:val="id-ID"/>
        </w:rPr>
      </w:pPr>
      <w:r w:rsidRPr="007D2CFD">
        <w:rPr>
          <w:rFonts w:ascii="Arial" w:hAnsi="Arial" w:cs="Arial"/>
          <w:b/>
          <w:i/>
          <w:sz w:val="18"/>
          <w:szCs w:val="18"/>
        </w:rPr>
        <w:t>Conclusion:</w:t>
      </w:r>
      <w:r w:rsidR="007F16D4">
        <w:rPr>
          <w:rFonts w:ascii="Arial" w:hAnsi="Arial" w:cs="Arial"/>
          <w:b/>
          <w:i/>
          <w:sz w:val="18"/>
          <w:szCs w:val="18"/>
          <w:lang w:val="id-ID"/>
        </w:rPr>
        <w:t xml:space="preserve"> </w:t>
      </w:r>
      <w:r w:rsidR="007F16D4" w:rsidRPr="007F16D4">
        <w:rPr>
          <w:rFonts w:ascii="Arial" w:hAnsi="Arial" w:cs="Arial"/>
          <w:sz w:val="18"/>
          <w:szCs w:val="18"/>
        </w:rPr>
        <w:t xml:space="preserve">Based on the </w:t>
      </w:r>
      <w:r w:rsidR="007F16D4" w:rsidRPr="007F16D4">
        <w:rPr>
          <w:rFonts w:ascii="Arial" w:hAnsi="Arial" w:cs="Arial"/>
          <w:sz w:val="18"/>
          <w:szCs w:val="18"/>
          <w:lang w:val="id-ID"/>
        </w:rPr>
        <w:t>inde</w:t>
      </w:r>
      <w:r w:rsidR="007F16D4" w:rsidRPr="007F16D4">
        <w:rPr>
          <w:rFonts w:ascii="Arial" w:hAnsi="Arial" w:cs="Arial"/>
          <w:sz w:val="18"/>
          <w:szCs w:val="18"/>
        </w:rPr>
        <w:t xml:space="preserve">x </w:t>
      </w:r>
      <w:r w:rsidR="007F16D4" w:rsidRPr="007F16D4">
        <w:rPr>
          <w:rFonts w:ascii="Arial" w:hAnsi="Arial" w:cs="Arial"/>
          <w:sz w:val="18"/>
          <w:szCs w:val="18"/>
          <w:lang w:val="id-ID"/>
        </w:rPr>
        <w:t>of erythrocyte</w:t>
      </w:r>
      <w:r w:rsidR="007F16D4" w:rsidRPr="007F16D4">
        <w:rPr>
          <w:rFonts w:ascii="Arial" w:hAnsi="Arial" w:cs="Arial"/>
          <w:sz w:val="18"/>
          <w:szCs w:val="18"/>
        </w:rPr>
        <w:t>, t</w:t>
      </w:r>
      <w:r w:rsidR="007F16D4" w:rsidRPr="007F16D4">
        <w:rPr>
          <w:rFonts w:ascii="Arial" w:hAnsi="Arial" w:cs="Arial"/>
          <w:sz w:val="18"/>
          <w:szCs w:val="18"/>
          <w:lang w:val="id-ID"/>
        </w:rPr>
        <w:t>he student</w:t>
      </w:r>
      <w:r w:rsidR="007F16D4" w:rsidRPr="007F16D4">
        <w:rPr>
          <w:rFonts w:ascii="Arial" w:hAnsi="Arial" w:cs="Arial"/>
          <w:sz w:val="18"/>
          <w:szCs w:val="18"/>
        </w:rPr>
        <w:t xml:space="preserve">s </w:t>
      </w:r>
      <w:r w:rsidR="007F16D4" w:rsidRPr="007F16D4">
        <w:rPr>
          <w:rFonts w:ascii="Arial" w:hAnsi="Arial" w:cs="Arial"/>
          <w:sz w:val="18"/>
          <w:szCs w:val="18"/>
          <w:lang w:val="id-ID"/>
        </w:rPr>
        <w:t>of junior high schoo</w:t>
      </w:r>
      <w:r w:rsidR="007F16D4" w:rsidRPr="007F16D4">
        <w:rPr>
          <w:rFonts w:ascii="Arial" w:hAnsi="Arial" w:cs="Arial"/>
          <w:sz w:val="18"/>
          <w:szCs w:val="18"/>
        </w:rPr>
        <w:t xml:space="preserve">ls in the </w:t>
      </w:r>
      <w:r w:rsidR="007F16D4" w:rsidRPr="007F16D4">
        <w:rPr>
          <w:rFonts w:ascii="Arial" w:hAnsi="Arial" w:cs="Arial"/>
          <w:sz w:val="18"/>
          <w:szCs w:val="18"/>
          <w:lang w:val="id-ID"/>
        </w:rPr>
        <w:t>coast</w:t>
      </w:r>
      <w:r w:rsidR="007F16D4" w:rsidRPr="007F16D4">
        <w:rPr>
          <w:rFonts w:ascii="Arial" w:hAnsi="Arial" w:cs="Arial"/>
          <w:sz w:val="18"/>
          <w:szCs w:val="18"/>
        </w:rPr>
        <w:t xml:space="preserve">al </w:t>
      </w:r>
      <w:r w:rsidR="007F16D4" w:rsidRPr="007F16D4">
        <w:rPr>
          <w:rFonts w:ascii="Arial" w:hAnsi="Arial" w:cs="Arial"/>
          <w:sz w:val="18"/>
          <w:szCs w:val="18"/>
          <w:lang w:val="id-ID"/>
        </w:rPr>
        <w:t xml:space="preserve">area </w:t>
      </w:r>
      <w:r w:rsidR="007F16D4" w:rsidRPr="007F16D4">
        <w:rPr>
          <w:rFonts w:ascii="Arial" w:hAnsi="Arial" w:cs="Arial"/>
          <w:sz w:val="18"/>
          <w:szCs w:val="18"/>
        </w:rPr>
        <w:t xml:space="preserve">of </w:t>
      </w:r>
      <w:r w:rsidR="007F16D4" w:rsidRPr="007F16D4">
        <w:rPr>
          <w:rFonts w:ascii="Arial" w:hAnsi="Arial" w:cs="Arial"/>
          <w:sz w:val="18"/>
          <w:szCs w:val="18"/>
          <w:lang w:val="id-ID"/>
        </w:rPr>
        <w:t xml:space="preserve">Tanjung </w:t>
      </w:r>
      <w:r w:rsidR="007F16D4" w:rsidRPr="007F16D4">
        <w:rPr>
          <w:rFonts w:ascii="Arial" w:hAnsi="Arial" w:cs="Arial"/>
          <w:sz w:val="18"/>
          <w:szCs w:val="18"/>
        </w:rPr>
        <w:t xml:space="preserve">suffer from </w:t>
      </w:r>
      <w:r w:rsidR="007F16D4" w:rsidRPr="007F16D4">
        <w:rPr>
          <w:rFonts w:ascii="Arial" w:hAnsi="Arial" w:cs="Arial"/>
          <w:sz w:val="18"/>
          <w:szCs w:val="18"/>
          <w:lang w:val="id-ID"/>
        </w:rPr>
        <w:t>two type</w:t>
      </w:r>
      <w:r w:rsidR="007F16D4" w:rsidRPr="007F16D4">
        <w:rPr>
          <w:rFonts w:ascii="Arial" w:hAnsi="Arial" w:cs="Arial"/>
          <w:sz w:val="18"/>
          <w:szCs w:val="18"/>
        </w:rPr>
        <w:t>s of</w:t>
      </w:r>
      <w:r w:rsidR="007F16D4" w:rsidRPr="007F16D4">
        <w:rPr>
          <w:rFonts w:ascii="Arial" w:hAnsi="Arial" w:cs="Arial"/>
          <w:sz w:val="18"/>
          <w:szCs w:val="18"/>
          <w:lang w:val="id-ID"/>
        </w:rPr>
        <w:t xml:space="preserve"> anemia</w:t>
      </w:r>
      <w:r w:rsidR="007F16D4" w:rsidRPr="007F16D4">
        <w:rPr>
          <w:rFonts w:ascii="Arial" w:hAnsi="Arial" w:cs="Arial"/>
          <w:sz w:val="18"/>
          <w:szCs w:val="18"/>
        </w:rPr>
        <w:t>:</w:t>
      </w:r>
      <w:r w:rsidR="007F16D4" w:rsidRPr="007F16D4">
        <w:rPr>
          <w:rFonts w:ascii="Arial" w:hAnsi="Arial" w:cs="Arial"/>
          <w:sz w:val="18"/>
          <w:szCs w:val="18"/>
          <w:lang w:val="id-ID"/>
        </w:rPr>
        <w:t xml:space="preserve"> </w:t>
      </w:r>
      <w:r w:rsidR="007F16D4" w:rsidRPr="007F16D4">
        <w:rPr>
          <w:rFonts w:ascii="Arial" w:hAnsi="Arial" w:cs="Arial"/>
          <w:sz w:val="18"/>
          <w:szCs w:val="18"/>
        </w:rPr>
        <w:t xml:space="preserve">the </w:t>
      </w:r>
      <w:r w:rsidR="007F16D4" w:rsidRPr="007F16D4">
        <w:rPr>
          <w:rFonts w:ascii="Arial" w:hAnsi="Arial" w:cs="Arial"/>
          <w:sz w:val="18"/>
          <w:szCs w:val="18"/>
          <w:lang w:val="id-ID"/>
        </w:rPr>
        <w:t>normocytic hypocromic anemia 38</w:t>
      </w:r>
      <w:r w:rsidR="007F16D4" w:rsidRPr="007F16D4">
        <w:rPr>
          <w:rFonts w:ascii="Arial" w:hAnsi="Arial" w:cs="Arial"/>
          <w:sz w:val="18"/>
          <w:szCs w:val="18"/>
        </w:rPr>
        <w:t>.</w:t>
      </w:r>
      <w:r w:rsidR="007F16D4" w:rsidRPr="007F16D4">
        <w:rPr>
          <w:rFonts w:ascii="Arial" w:hAnsi="Arial" w:cs="Arial"/>
          <w:sz w:val="18"/>
          <w:szCs w:val="18"/>
          <w:lang w:val="id-ID"/>
        </w:rPr>
        <w:t xml:space="preserve">46% (10 </w:t>
      </w:r>
      <w:r w:rsidR="007F16D4" w:rsidRPr="007F16D4">
        <w:rPr>
          <w:rFonts w:ascii="Arial" w:hAnsi="Arial" w:cs="Arial"/>
          <w:sz w:val="18"/>
          <w:szCs w:val="18"/>
        </w:rPr>
        <w:t>respondents</w:t>
      </w:r>
      <w:r w:rsidR="007F16D4" w:rsidRPr="007F16D4">
        <w:rPr>
          <w:rFonts w:ascii="Arial" w:hAnsi="Arial" w:cs="Arial"/>
          <w:sz w:val="18"/>
          <w:szCs w:val="18"/>
          <w:lang w:val="id-ID"/>
        </w:rPr>
        <w:t xml:space="preserve">) and </w:t>
      </w:r>
      <w:r w:rsidR="007F16D4" w:rsidRPr="007F16D4">
        <w:rPr>
          <w:rFonts w:ascii="Arial" w:hAnsi="Arial" w:cs="Arial"/>
          <w:sz w:val="18"/>
          <w:szCs w:val="18"/>
        </w:rPr>
        <w:t xml:space="preserve">the </w:t>
      </w:r>
      <w:r w:rsidR="007F16D4" w:rsidRPr="007F16D4">
        <w:rPr>
          <w:rFonts w:ascii="Arial" w:hAnsi="Arial" w:cs="Arial"/>
          <w:sz w:val="18"/>
          <w:szCs w:val="18"/>
          <w:lang w:val="id-ID"/>
        </w:rPr>
        <w:t>microcytic hypocromic anemia</w:t>
      </w:r>
      <w:r w:rsidR="007F16D4" w:rsidRPr="007F16D4">
        <w:rPr>
          <w:rFonts w:ascii="Arial" w:hAnsi="Arial" w:cs="Arial"/>
          <w:sz w:val="18"/>
          <w:szCs w:val="18"/>
        </w:rPr>
        <w:t xml:space="preserve"> </w:t>
      </w:r>
      <w:r w:rsidR="007F16D4" w:rsidRPr="007F16D4">
        <w:rPr>
          <w:rFonts w:ascii="Arial" w:hAnsi="Arial" w:cs="Arial"/>
          <w:sz w:val="18"/>
          <w:szCs w:val="18"/>
          <w:lang w:val="id-ID"/>
        </w:rPr>
        <w:t xml:space="preserve">61,5% (16 </w:t>
      </w:r>
      <w:r w:rsidR="007F16D4" w:rsidRPr="007F16D4">
        <w:rPr>
          <w:rFonts w:ascii="Arial" w:hAnsi="Arial" w:cs="Arial"/>
          <w:sz w:val="18"/>
          <w:szCs w:val="18"/>
        </w:rPr>
        <w:t>respondents</w:t>
      </w:r>
      <w:r w:rsidR="007F16D4" w:rsidRPr="007F16D4">
        <w:rPr>
          <w:rFonts w:ascii="Arial" w:hAnsi="Arial" w:cs="Arial"/>
          <w:sz w:val="18"/>
          <w:szCs w:val="18"/>
          <w:lang w:val="id-ID"/>
        </w:rPr>
        <w:t>).</w:t>
      </w:r>
    </w:p>
    <w:p w:rsidR="007F16D4" w:rsidRDefault="007F16D4" w:rsidP="002B3161">
      <w:pPr>
        <w:ind w:right="13"/>
        <w:jc w:val="both"/>
        <w:rPr>
          <w:rFonts w:ascii="Arial" w:hAnsi="Arial" w:cs="Arial"/>
          <w:b/>
          <w:i/>
          <w:sz w:val="18"/>
          <w:szCs w:val="18"/>
          <w:lang w:val="id-ID"/>
        </w:rPr>
      </w:pPr>
    </w:p>
    <w:p w:rsidR="002B3161" w:rsidRPr="007D2CFD" w:rsidRDefault="0030769C" w:rsidP="002B3161">
      <w:pPr>
        <w:ind w:right="13"/>
        <w:jc w:val="both"/>
        <w:rPr>
          <w:rFonts w:ascii="Arial" w:hAnsi="Arial" w:cs="Arial"/>
          <w:i/>
          <w:sz w:val="18"/>
          <w:szCs w:val="18"/>
        </w:rPr>
      </w:pPr>
      <w:r w:rsidRPr="007D2CFD">
        <w:rPr>
          <w:rFonts w:ascii="Arial" w:hAnsi="Arial" w:cs="Arial"/>
          <w:b/>
          <w:i/>
          <w:sz w:val="18"/>
          <w:szCs w:val="18"/>
        </w:rPr>
        <w:t>Keywords</w:t>
      </w:r>
      <w:r w:rsidRPr="007D2CFD">
        <w:rPr>
          <w:rFonts w:ascii="Arial" w:hAnsi="Arial" w:cs="Arial"/>
          <w:i/>
          <w:sz w:val="18"/>
          <w:szCs w:val="18"/>
        </w:rPr>
        <w:t>:</w:t>
      </w:r>
      <w:r w:rsidR="007F16D4" w:rsidRPr="007F16D4">
        <w:rPr>
          <w:i/>
          <w:lang w:val="id-ID"/>
        </w:rPr>
        <w:t xml:space="preserve"> </w:t>
      </w:r>
      <w:r w:rsidR="007F16D4" w:rsidRPr="007F16D4">
        <w:rPr>
          <w:rFonts w:ascii="Arial" w:hAnsi="Arial" w:cs="Arial"/>
          <w:i/>
          <w:sz w:val="18"/>
          <w:szCs w:val="18"/>
          <w:lang w:val="id-ID"/>
        </w:rPr>
        <w:t>anemia, erithrocyte index, coast</w:t>
      </w:r>
      <w:r w:rsidR="007F16D4" w:rsidRPr="007F16D4">
        <w:rPr>
          <w:rFonts w:ascii="Arial" w:hAnsi="Arial" w:cs="Arial"/>
          <w:i/>
          <w:sz w:val="18"/>
          <w:szCs w:val="18"/>
        </w:rPr>
        <w:t>al area</w:t>
      </w:r>
    </w:p>
    <w:p w:rsidR="00587721" w:rsidRDefault="00587721" w:rsidP="002B3161">
      <w:pPr>
        <w:ind w:right="13"/>
        <w:jc w:val="both"/>
        <w:rPr>
          <w:rFonts w:ascii="Arial" w:hAnsi="Arial" w:cs="Arial"/>
          <w:b/>
          <w:sz w:val="18"/>
          <w:szCs w:val="18"/>
          <w:lang w:val="id-ID"/>
        </w:rPr>
      </w:pPr>
    </w:p>
    <w:p w:rsidR="007F16D4" w:rsidRDefault="007F16D4" w:rsidP="002B3161">
      <w:pPr>
        <w:ind w:right="13"/>
        <w:jc w:val="both"/>
        <w:rPr>
          <w:rFonts w:ascii="Arial" w:hAnsi="Arial" w:cs="Arial"/>
          <w:b/>
          <w:sz w:val="18"/>
          <w:szCs w:val="18"/>
          <w:lang w:val="id-ID"/>
        </w:rPr>
      </w:pPr>
    </w:p>
    <w:p w:rsidR="002B3161" w:rsidRPr="007D2CFD" w:rsidRDefault="002B3161" w:rsidP="002B3161">
      <w:pPr>
        <w:ind w:right="13"/>
        <w:jc w:val="both"/>
        <w:rPr>
          <w:rFonts w:ascii="Arial" w:hAnsi="Arial" w:cs="Arial"/>
          <w:b/>
          <w:sz w:val="18"/>
          <w:szCs w:val="18"/>
        </w:rPr>
      </w:pPr>
      <w:r w:rsidRPr="007D2CFD">
        <w:rPr>
          <w:rFonts w:ascii="Arial" w:hAnsi="Arial" w:cs="Arial"/>
          <w:b/>
          <w:sz w:val="18"/>
          <w:szCs w:val="18"/>
        </w:rPr>
        <w:t xml:space="preserve">Abstrak </w:t>
      </w:r>
    </w:p>
    <w:p w:rsidR="002B3161" w:rsidRDefault="002B3161" w:rsidP="002B3161">
      <w:pPr>
        <w:pStyle w:val="NoSpacing"/>
        <w:ind w:left="0"/>
        <w:rPr>
          <w:rFonts w:ascii="Arial" w:hAnsi="Arial" w:cs="Arial"/>
          <w:sz w:val="18"/>
          <w:szCs w:val="18"/>
          <w:lang w:val="id-ID"/>
        </w:rPr>
      </w:pPr>
      <w:r w:rsidRPr="007D2CFD">
        <w:rPr>
          <w:rFonts w:ascii="Arial" w:hAnsi="Arial" w:cs="Arial"/>
          <w:b/>
          <w:sz w:val="18"/>
          <w:szCs w:val="18"/>
          <w:lang w:val="id-ID"/>
        </w:rPr>
        <w:t>Latar belakang:</w:t>
      </w:r>
      <w:r w:rsidR="00587721">
        <w:rPr>
          <w:rFonts w:ascii="Arial" w:hAnsi="Arial" w:cs="Arial"/>
          <w:b/>
          <w:sz w:val="18"/>
          <w:szCs w:val="18"/>
          <w:lang w:val="id-ID"/>
        </w:rPr>
        <w:t xml:space="preserve"> </w:t>
      </w:r>
      <w:r w:rsidR="00587721" w:rsidRPr="00587721">
        <w:rPr>
          <w:rFonts w:ascii="Arial" w:hAnsi="Arial" w:cs="Arial"/>
          <w:sz w:val="18"/>
          <w:szCs w:val="18"/>
          <w:lang w:val="id-ID"/>
        </w:rPr>
        <w:t>A</w:t>
      </w:r>
      <w:r w:rsidR="00587721" w:rsidRPr="00587721">
        <w:rPr>
          <w:rFonts w:ascii="Arial" w:hAnsi="Arial" w:cs="Arial"/>
          <w:sz w:val="18"/>
          <w:szCs w:val="18"/>
        </w:rPr>
        <w:t>nemia ditunjuk</w:t>
      </w:r>
      <w:r w:rsidR="00587721" w:rsidRPr="00587721">
        <w:rPr>
          <w:rFonts w:ascii="Arial" w:hAnsi="Arial" w:cs="Arial"/>
          <w:sz w:val="18"/>
          <w:szCs w:val="18"/>
          <w:lang w:val="id-ID"/>
        </w:rPr>
        <w:t>k</w:t>
      </w:r>
      <w:r w:rsidR="00587721" w:rsidRPr="00587721">
        <w:rPr>
          <w:rFonts w:ascii="Arial" w:hAnsi="Arial" w:cs="Arial"/>
          <w:sz w:val="18"/>
          <w:szCs w:val="18"/>
        </w:rPr>
        <w:t>an oleh penurunan kadar hemoglobin</w:t>
      </w:r>
      <w:r w:rsidR="00587721" w:rsidRPr="00587721">
        <w:rPr>
          <w:rFonts w:ascii="Arial" w:hAnsi="Arial" w:cs="Arial"/>
          <w:sz w:val="18"/>
          <w:szCs w:val="18"/>
          <w:lang w:val="id-ID"/>
        </w:rPr>
        <w:t xml:space="preserve"> yang akhirnya menyebabkan penurunan kualitas individu.</w:t>
      </w:r>
      <w:r w:rsidR="00587721" w:rsidRPr="00587721">
        <w:rPr>
          <w:rFonts w:ascii="Arial" w:hAnsi="Arial" w:cs="Arial"/>
          <w:sz w:val="18"/>
          <w:szCs w:val="18"/>
        </w:rPr>
        <w:t xml:space="preserve"> </w:t>
      </w:r>
      <w:r w:rsidR="00587721" w:rsidRPr="00587721">
        <w:rPr>
          <w:rFonts w:ascii="Arial" w:hAnsi="Arial" w:cs="Arial"/>
          <w:sz w:val="18"/>
          <w:szCs w:val="18"/>
          <w:lang w:val="id-ID"/>
        </w:rPr>
        <w:t xml:space="preserve">Kejadian anemia dipengaruhi oleh </w:t>
      </w:r>
      <w:r w:rsidR="00587721" w:rsidRPr="00587721">
        <w:rPr>
          <w:rFonts w:ascii="Arial" w:hAnsi="Arial" w:cs="Arial"/>
          <w:sz w:val="18"/>
          <w:szCs w:val="18"/>
        </w:rPr>
        <w:t>keadaan</w:t>
      </w:r>
      <w:r w:rsidR="00587721" w:rsidRPr="00587721">
        <w:rPr>
          <w:rFonts w:ascii="Arial" w:hAnsi="Arial" w:cs="Arial"/>
          <w:sz w:val="18"/>
          <w:szCs w:val="18"/>
          <w:lang w:val="id-ID"/>
        </w:rPr>
        <w:t xml:space="preserve"> demografis</w:t>
      </w:r>
      <w:r w:rsidR="00587721" w:rsidRPr="00587721">
        <w:rPr>
          <w:rFonts w:ascii="Arial" w:hAnsi="Arial" w:cs="Arial"/>
          <w:sz w:val="18"/>
          <w:szCs w:val="18"/>
        </w:rPr>
        <w:t>.</w:t>
      </w:r>
      <w:r w:rsidR="00587721" w:rsidRPr="00587721">
        <w:rPr>
          <w:rFonts w:ascii="Arial" w:hAnsi="Arial" w:cs="Arial"/>
          <w:sz w:val="18"/>
          <w:szCs w:val="18"/>
          <w:lang w:val="id-ID"/>
        </w:rPr>
        <w:t xml:space="preserve"> Prevalensi anemia di daerah pantai (52%) lebih tinggi dibandingkan dengan daerah pegunungan (24%)</w:t>
      </w:r>
      <w:r w:rsidR="00587721" w:rsidRPr="00587721">
        <w:rPr>
          <w:rFonts w:ascii="Arial" w:hAnsi="Arial" w:cs="Arial"/>
          <w:sz w:val="18"/>
          <w:szCs w:val="18"/>
        </w:rPr>
        <w:t>.</w:t>
      </w:r>
      <w:r w:rsidR="00587721" w:rsidRPr="00587721">
        <w:rPr>
          <w:rFonts w:ascii="Arial" w:hAnsi="Arial" w:cs="Arial"/>
          <w:sz w:val="18"/>
          <w:szCs w:val="18"/>
          <w:lang w:val="id-ID"/>
        </w:rPr>
        <w:t xml:space="preserve"> Masyarakat di daerah pantai umumnya memiliki status sosial ekonomi yang rendah dan hal ini berperan dalam kejadian anemia. Kecamatan Tanjung memiliki wilayah pantai yang luas, sedangkan data anemia pada anak SMP belum ada pada daerah tersebut. Untuk mengetahui penyebab yang mendasari terjadinya anemia, salah satunya dengan indeks eritrosit. </w:t>
      </w:r>
      <w:r w:rsidR="00587721" w:rsidRPr="00587721">
        <w:rPr>
          <w:rFonts w:ascii="Arial" w:hAnsi="Arial" w:cs="Arial"/>
          <w:sz w:val="18"/>
          <w:szCs w:val="18"/>
        </w:rPr>
        <w:t xml:space="preserve">Berdasarkan </w:t>
      </w:r>
      <w:r w:rsidR="00587721" w:rsidRPr="00587721">
        <w:rPr>
          <w:rFonts w:ascii="Arial" w:hAnsi="Arial" w:cs="Arial"/>
          <w:sz w:val="18"/>
          <w:szCs w:val="18"/>
          <w:lang w:val="id-ID"/>
        </w:rPr>
        <w:t>hal</w:t>
      </w:r>
      <w:r w:rsidR="00587721" w:rsidRPr="00587721">
        <w:rPr>
          <w:rFonts w:ascii="Arial" w:hAnsi="Arial" w:cs="Arial"/>
          <w:sz w:val="18"/>
          <w:szCs w:val="18"/>
        </w:rPr>
        <w:t xml:space="preserve"> tersebut, </w:t>
      </w:r>
      <w:r w:rsidR="00587721" w:rsidRPr="00587721">
        <w:rPr>
          <w:rFonts w:ascii="Arial" w:hAnsi="Arial" w:cs="Arial"/>
          <w:sz w:val="18"/>
          <w:szCs w:val="18"/>
          <w:lang w:val="id-ID"/>
        </w:rPr>
        <w:t xml:space="preserve">maka dilakukan </w:t>
      </w:r>
      <w:r w:rsidR="00587721" w:rsidRPr="00587721">
        <w:rPr>
          <w:rFonts w:ascii="Arial" w:hAnsi="Arial" w:cs="Arial"/>
          <w:sz w:val="18"/>
          <w:szCs w:val="18"/>
        </w:rPr>
        <w:t>peneliti</w:t>
      </w:r>
      <w:r w:rsidR="00587721" w:rsidRPr="00587721">
        <w:rPr>
          <w:rFonts w:ascii="Arial" w:hAnsi="Arial" w:cs="Arial"/>
          <w:sz w:val="18"/>
          <w:szCs w:val="18"/>
          <w:lang w:val="id-ID"/>
        </w:rPr>
        <w:t>an</w:t>
      </w:r>
      <w:r w:rsidR="00587721" w:rsidRPr="00587721">
        <w:rPr>
          <w:rFonts w:ascii="Arial" w:hAnsi="Arial" w:cs="Arial"/>
          <w:sz w:val="18"/>
          <w:szCs w:val="18"/>
        </w:rPr>
        <w:t xml:space="preserve"> </w:t>
      </w:r>
      <w:r w:rsidR="00587721" w:rsidRPr="00587721">
        <w:rPr>
          <w:rFonts w:ascii="Arial" w:hAnsi="Arial" w:cs="Arial"/>
          <w:sz w:val="18"/>
          <w:szCs w:val="18"/>
          <w:lang w:val="id-ID"/>
        </w:rPr>
        <w:t xml:space="preserve">tentang </w:t>
      </w:r>
      <w:r w:rsidR="00587721" w:rsidRPr="00587721">
        <w:rPr>
          <w:rFonts w:ascii="Arial" w:hAnsi="Arial" w:cs="Arial"/>
          <w:sz w:val="18"/>
          <w:szCs w:val="18"/>
        </w:rPr>
        <w:t>profil anemia</w:t>
      </w:r>
      <w:r w:rsidR="00587721" w:rsidRPr="00587721">
        <w:rPr>
          <w:rFonts w:ascii="Arial" w:hAnsi="Arial" w:cs="Arial"/>
          <w:sz w:val="18"/>
          <w:szCs w:val="18"/>
          <w:lang w:val="id-ID"/>
        </w:rPr>
        <w:t xml:space="preserve"> </w:t>
      </w:r>
      <w:r w:rsidR="00587721" w:rsidRPr="00587721">
        <w:rPr>
          <w:rFonts w:ascii="Arial" w:hAnsi="Arial" w:cs="Arial"/>
          <w:sz w:val="18"/>
          <w:szCs w:val="18"/>
        </w:rPr>
        <w:t xml:space="preserve">berdasarkan indeks eritrosit pada </w:t>
      </w:r>
      <w:r w:rsidR="00587721" w:rsidRPr="00587721">
        <w:rPr>
          <w:rFonts w:ascii="Arial" w:hAnsi="Arial" w:cs="Arial"/>
          <w:sz w:val="18"/>
          <w:szCs w:val="18"/>
          <w:lang w:val="id-ID"/>
        </w:rPr>
        <w:t>siswa</w:t>
      </w:r>
      <w:r w:rsidR="00587721" w:rsidRPr="00587721">
        <w:rPr>
          <w:rFonts w:ascii="Arial" w:hAnsi="Arial" w:cs="Arial"/>
          <w:sz w:val="18"/>
          <w:szCs w:val="18"/>
        </w:rPr>
        <w:t xml:space="preserve"> SMP di daerah pantai</w:t>
      </w:r>
      <w:r w:rsidR="00587721" w:rsidRPr="00587721">
        <w:rPr>
          <w:rFonts w:ascii="Arial" w:hAnsi="Arial" w:cs="Arial"/>
          <w:sz w:val="18"/>
          <w:szCs w:val="18"/>
          <w:lang w:val="id-ID"/>
        </w:rPr>
        <w:t xml:space="preserve"> Kecamatan Tanjung</w:t>
      </w:r>
      <w:r w:rsidR="00587721" w:rsidRPr="00587721">
        <w:rPr>
          <w:rFonts w:ascii="Arial" w:hAnsi="Arial" w:cs="Arial"/>
          <w:sz w:val="18"/>
          <w:szCs w:val="18"/>
        </w:rPr>
        <w:t>.</w:t>
      </w:r>
    </w:p>
    <w:p w:rsidR="002B3161" w:rsidRDefault="002B3161" w:rsidP="002B3161">
      <w:pPr>
        <w:pStyle w:val="NoSpacing"/>
        <w:ind w:left="0"/>
        <w:rPr>
          <w:rFonts w:ascii="Arial" w:hAnsi="Arial" w:cs="Arial"/>
          <w:bCs/>
          <w:sz w:val="18"/>
          <w:szCs w:val="18"/>
          <w:lang w:val="id-ID"/>
        </w:rPr>
      </w:pPr>
      <w:r w:rsidRPr="007D2CFD">
        <w:rPr>
          <w:rFonts w:ascii="Arial" w:hAnsi="Arial" w:cs="Arial"/>
          <w:b/>
          <w:sz w:val="18"/>
          <w:szCs w:val="18"/>
          <w:lang w:val="id-ID"/>
        </w:rPr>
        <w:t>Metode:</w:t>
      </w:r>
      <w:r w:rsidRPr="007D2CFD">
        <w:rPr>
          <w:rFonts w:ascii="Arial" w:hAnsi="Arial" w:cs="Arial"/>
          <w:sz w:val="18"/>
          <w:szCs w:val="18"/>
          <w:lang w:val="id-ID"/>
        </w:rPr>
        <w:t xml:space="preserve"> </w:t>
      </w:r>
      <w:r w:rsidR="00587721" w:rsidRPr="00587721">
        <w:rPr>
          <w:rFonts w:ascii="Arial" w:hAnsi="Arial" w:cs="Arial"/>
          <w:sz w:val="18"/>
          <w:szCs w:val="18"/>
          <w:lang w:val="id-ID"/>
        </w:rPr>
        <w:t xml:space="preserve">Rancangan penelitian ini adalah </w:t>
      </w:r>
      <w:r w:rsidR="00587721" w:rsidRPr="00587721">
        <w:rPr>
          <w:rFonts w:ascii="Arial" w:hAnsi="Arial" w:cs="Arial"/>
          <w:i/>
          <w:sz w:val="18"/>
          <w:szCs w:val="18"/>
          <w:lang w:val="id-ID"/>
        </w:rPr>
        <w:t>cross sectional</w:t>
      </w:r>
      <w:r w:rsidR="00587721" w:rsidRPr="00587721">
        <w:rPr>
          <w:rFonts w:ascii="Arial" w:hAnsi="Arial" w:cs="Arial"/>
          <w:sz w:val="18"/>
          <w:szCs w:val="18"/>
          <w:lang w:val="id-ID"/>
        </w:rPr>
        <w:t xml:space="preserve">. Pengambilan sampel menggunakan metode </w:t>
      </w:r>
      <w:r w:rsidR="00587721" w:rsidRPr="00587721">
        <w:rPr>
          <w:rFonts w:ascii="Arial" w:hAnsi="Arial" w:cs="Arial"/>
          <w:bCs/>
          <w:i/>
          <w:sz w:val="18"/>
          <w:szCs w:val="18"/>
          <w:lang w:val="id-ID"/>
        </w:rPr>
        <w:t>total</w:t>
      </w:r>
      <w:r w:rsidR="00587721" w:rsidRPr="00587721">
        <w:rPr>
          <w:rFonts w:ascii="Arial" w:hAnsi="Arial" w:cs="Arial"/>
          <w:bCs/>
          <w:i/>
          <w:sz w:val="18"/>
          <w:szCs w:val="18"/>
        </w:rPr>
        <w:t xml:space="preserve"> sampling</w:t>
      </w:r>
      <w:r w:rsidR="00587721" w:rsidRPr="00587721">
        <w:rPr>
          <w:rFonts w:ascii="Arial" w:hAnsi="Arial" w:cs="Arial"/>
          <w:bCs/>
          <w:sz w:val="18"/>
          <w:szCs w:val="18"/>
          <w:lang w:val="id-ID"/>
        </w:rPr>
        <w:t>.</w:t>
      </w:r>
      <w:r w:rsidR="00587721" w:rsidRPr="00587721">
        <w:rPr>
          <w:rFonts w:ascii="Arial" w:hAnsi="Arial" w:cs="Arial"/>
          <w:bCs/>
          <w:i/>
          <w:sz w:val="18"/>
          <w:szCs w:val="18"/>
          <w:lang w:val="id-ID"/>
        </w:rPr>
        <w:t xml:space="preserve"> </w:t>
      </w:r>
      <w:r w:rsidR="00587721" w:rsidRPr="00587721">
        <w:rPr>
          <w:rFonts w:ascii="Arial" w:hAnsi="Arial" w:cs="Arial"/>
          <w:bCs/>
          <w:sz w:val="18"/>
          <w:szCs w:val="18"/>
          <w:lang w:val="id-ID"/>
        </w:rPr>
        <w:t>Seluruh sampel berjumlah 354 siswa,</w:t>
      </w:r>
      <w:r w:rsidR="00587721" w:rsidRPr="00587721">
        <w:rPr>
          <w:rFonts w:ascii="Arial" w:hAnsi="Arial" w:cs="Arial"/>
          <w:bCs/>
          <w:i/>
          <w:sz w:val="18"/>
          <w:szCs w:val="18"/>
          <w:lang w:val="id-ID"/>
        </w:rPr>
        <w:t xml:space="preserve"> </w:t>
      </w:r>
      <w:r w:rsidR="00587721" w:rsidRPr="00587721">
        <w:rPr>
          <w:rFonts w:ascii="Arial" w:hAnsi="Arial" w:cs="Arial"/>
          <w:bCs/>
          <w:sz w:val="18"/>
          <w:szCs w:val="18"/>
          <w:lang w:val="id-ID"/>
        </w:rPr>
        <w:t>namun hanya 201 responden yang memenuhi kriteria inklusi dan eksklusi</w:t>
      </w:r>
      <w:r w:rsidR="00587721" w:rsidRPr="00587721">
        <w:rPr>
          <w:rFonts w:ascii="Arial" w:hAnsi="Arial" w:cs="Arial"/>
          <w:bCs/>
          <w:sz w:val="18"/>
          <w:szCs w:val="18"/>
        </w:rPr>
        <w:t xml:space="preserve">. </w:t>
      </w:r>
      <w:r w:rsidR="00587721" w:rsidRPr="00587721">
        <w:rPr>
          <w:rFonts w:ascii="Arial" w:hAnsi="Arial" w:cs="Arial"/>
          <w:bCs/>
          <w:sz w:val="18"/>
          <w:szCs w:val="18"/>
          <w:lang w:val="id-ID"/>
        </w:rPr>
        <w:t xml:space="preserve">Pengumpulan data menggunakan kuesioner dan hasil pemeriksaan </w:t>
      </w:r>
      <w:r w:rsidR="00587721" w:rsidRPr="00587721">
        <w:rPr>
          <w:rFonts w:ascii="Arial" w:hAnsi="Arial" w:cs="Arial"/>
          <w:bCs/>
          <w:sz w:val="18"/>
          <w:szCs w:val="18"/>
        </w:rPr>
        <w:t>sampel darah</w:t>
      </w:r>
      <w:r w:rsidR="00587721" w:rsidRPr="00587721">
        <w:rPr>
          <w:rFonts w:ascii="Arial" w:hAnsi="Arial" w:cs="Arial"/>
          <w:bCs/>
          <w:sz w:val="18"/>
          <w:szCs w:val="18"/>
          <w:lang w:val="id-ID"/>
        </w:rPr>
        <w:t>. Analisis statistik yang digunakan adalah analisis univariat</w:t>
      </w:r>
      <w:r w:rsidRPr="00587721">
        <w:rPr>
          <w:rFonts w:ascii="Arial" w:hAnsi="Arial" w:cs="Arial"/>
          <w:bCs/>
          <w:sz w:val="18"/>
          <w:szCs w:val="18"/>
          <w:lang w:val="id-ID"/>
        </w:rPr>
        <w:t>.</w:t>
      </w:r>
    </w:p>
    <w:p w:rsidR="002B3161" w:rsidRDefault="002B3161" w:rsidP="002B3161">
      <w:pPr>
        <w:pStyle w:val="NoSpacing"/>
        <w:ind w:left="0"/>
        <w:rPr>
          <w:rFonts w:ascii="Arial" w:hAnsi="Arial" w:cs="Arial"/>
          <w:sz w:val="18"/>
          <w:szCs w:val="18"/>
          <w:lang w:val="id-ID"/>
        </w:rPr>
      </w:pPr>
      <w:r w:rsidRPr="00587721">
        <w:rPr>
          <w:rFonts w:ascii="Arial" w:hAnsi="Arial" w:cs="Arial"/>
          <w:b/>
          <w:sz w:val="18"/>
          <w:szCs w:val="18"/>
          <w:lang w:val="id-ID"/>
        </w:rPr>
        <w:t>Hasil</w:t>
      </w:r>
      <w:r w:rsidRPr="00587721">
        <w:rPr>
          <w:rFonts w:ascii="Arial" w:hAnsi="Arial" w:cs="Arial"/>
          <w:sz w:val="18"/>
          <w:szCs w:val="18"/>
          <w:lang w:val="id-ID"/>
        </w:rPr>
        <w:t xml:space="preserve">: </w:t>
      </w:r>
      <w:r w:rsidR="00587721" w:rsidRPr="00587721">
        <w:rPr>
          <w:rFonts w:ascii="Arial" w:hAnsi="Arial" w:cs="Arial"/>
          <w:sz w:val="18"/>
          <w:szCs w:val="18"/>
          <w:lang w:val="id-ID"/>
        </w:rPr>
        <w:t>Batasan kadar Hb normal populasi untuk siswa SMP di daerah pantai Kecamatan Tanjung adalah 13,11 ± SD 1,11</w:t>
      </w:r>
      <w:r w:rsidR="00587721" w:rsidRPr="00587721">
        <w:rPr>
          <w:rFonts w:ascii="Arial" w:hAnsi="Arial" w:cs="Arial"/>
          <w:sz w:val="18"/>
          <w:szCs w:val="18"/>
        </w:rPr>
        <w:t xml:space="preserve"> g/dl</w:t>
      </w:r>
      <w:r w:rsidR="00587721" w:rsidRPr="00587721">
        <w:rPr>
          <w:rFonts w:ascii="Arial" w:hAnsi="Arial" w:cs="Arial"/>
          <w:sz w:val="18"/>
          <w:szCs w:val="18"/>
          <w:lang w:val="id-ID"/>
        </w:rPr>
        <w:t xml:space="preserve">. Dari 201 responden, </w:t>
      </w:r>
      <w:r w:rsidR="00587721" w:rsidRPr="00587721">
        <w:rPr>
          <w:rFonts w:ascii="Arial" w:hAnsi="Arial" w:cs="Arial"/>
          <w:sz w:val="18"/>
          <w:szCs w:val="18"/>
        </w:rPr>
        <w:t xml:space="preserve">26 </w:t>
      </w:r>
      <w:r w:rsidR="00587721" w:rsidRPr="00587721">
        <w:rPr>
          <w:rFonts w:ascii="Arial" w:hAnsi="Arial" w:cs="Arial"/>
          <w:noProof/>
          <w:sz w:val="18"/>
          <w:szCs w:val="18"/>
        </w:rPr>
        <w:t>(12,94%)</w:t>
      </w:r>
      <w:r w:rsidR="00587721" w:rsidRPr="00587721">
        <w:rPr>
          <w:rFonts w:ascii="Arial" w:hAnsi="Arial" w:cs="Arial"/>
          <w:noProof/>
          <w:sz w:val="18"/>
          <w:szCs w:val="18"/>
          <w:lang w:val="id-ID"/>
        </w:rPr>
        <w:t xml:space="preserve"> </w:t>
      </w:r>
      <w:r w:rsidR="00587721" w:rsidRPr="00587721">
        <w:rPr>
          <w:rFonts w:ascii="Arial" w:hAnsi="Arial" w:cs="Arial"/>
          <w:sz w:val="18"/>
          <w:szCs w:val="18"/>
          <w:lang w:val="id-ID"/>
        </w:rPr>
        <w:t xml:space="preserve">anak mengalami </w:t>
      </w:r>
      <w:r w:rsidR="00587721" w:rsidRPr="00587721">
        <w:rPr>
          <w:rFonts w:ascii="Arial" w:hAnsi="Arial" w:cs="Arial"/>
          <w:sz w:val="18"/>
          <w:szCs w:val="18"/>
        </w:rPr>
        <w:t>anemia</w:t>
      </w:r>
      <w:r w:rsidR="00587721" w:rsidRPr="00587721">
        <w:rPr>
          <w:rFonts w:ascii="Arial" w:hAnsi="Arial" w:cs="Arial"/>
          <w:sz w:val="18"/>
          <w:szCs w:val="18"/>
          <w:lang w:val="id-ID"/>
        </w:rPr>
        <w:t xml:space="preserve"> yaitu</w:t>
      </w:r>
      <w:r w:rsidR="00587721" w:rsidRPr="00587721">
        <w:rPr>
          <w:rFonts w:ascii="Arial" w:hAnsi="Arial" w:cs="Arial"/>
          <w:sz w:val="18"/>
          <w:szCs w:val="18"/>
        </w:rPr>
        <w:t xml:space="preserve"> 15 </w:t>
      </w:r>
      <w:r w:rsidR="00587721" w:rsidRPr="00587721">
        <w:rPr>
          <w:rFonts w:ascii="Arial" w:hAnsi="Arial" w:cs="Arial"/>
          <w:sz w:val="18"/>
          <w:szCs w:val="18"/>
          <w:lang w:val="id-ID"/>
        </w:rPr>
        <w:t>(</w:t>
      </w:r>
      <w:r w:rsidR="00587721" w:rsidRPr="00587721">
        <w:rPr>
          <w:rFonts w:ascii="Arial" w:hAnsi="Arial" w:cs="Arial"/>
          <w:sz w:val="18"/>
          <w:szCs w:val="18"/>
        </w:rPr>
        <w:t>57,7%</w:t>
      </w:r>
      <w:r w:rsidR="00587721" w:rsidRPr="00587721">
        <w:rPr>
          <w:rFonts w:ascii="Arial" w:hAnsi="Arial" w:cs="Arial"/>
          <w:sz w:val="18"/>
          <w:szCs w:val="18"/>
          <w:lang w:val="id-ID"/>
        </w:rPr>
        <w:t xml:space="preserve">) siswa </w:t>
      </w:r>
      <w:r w:rsidR="00587721" w:rsidRPr="00587721">
        <w:rPr>
          <w:rFonts w:ascii="Arial" w:hAnsi="Arial" w:cs="Arial"/>
          <w:sz w:val="18"/>
          <w:szCs w:val="18"/>
        </w:rPr>
        <w:t>perempuan</w:t>
      </w:r>
      <w:r w:rsidR="00587721" w:rsidRPr="00587721">
        <w:rPr>
          <w:rFonts w:ascii="Arial" w:hAnsi="Arial" w:cs="Arial"/>
          <w:sz w:val="18"/>
          <w:szCs w:val="18"/>
          <w:lang w:val="id-ID"/>
        </w:rPr>
        <w:t>, dan 11 (42,31%) siswa laki-laki</w:t>
      </w:r>
      <w:r w:rsidR="00587721" w:rsidRPr="00587721">
        <w:rPr>
          <w:rFonts w:ascii="Arial" w:hAnsi="Arial" w:cs="Arial"/>
          <w:sz w:val="18"/>
          <w:szCs w:val="18"/>
        </w:rPr>
        <w:t xml:space="preserve">. </w:t>
      </w:r>
      <w:r w:rsidR="00587721" w:rsidRPr="00587721">
        <w:rPr>
          <w:rFonts w:ascii="Arial" w:hAnsi="Arial" w:cs="Arial"/>
          <w:sz w:val="18"/>
          <w:szCs w:val="18"/>
          <w:lang w:val="id-ID"/>
        </w:rPr>
        <w:t>Berdasarkan indeks eritrosit,</w:t>
      </w:r>
      <w:r w:rsidR="00587721" w:rsidRPr="00587721">
        <w:rPr>
          <w:rFonts w:ascii="Arial" w:hAnsi="Arial" w:cs="Arial"/>
          <w:sz w:val="18"/>
          <w:szCs w:val="18"/>
        </w:rPr>
        <w:t xml:space="preserve"> 3</w:t>
      </w:r>
      <w:r w:rsidR="00587721" w:rsidRPr="00587721">
        <w:rPr>
          <w:rFonts w:ascii="Arial" w:hAnsi="Arial" w:cs="Arial"/>
          <w:sz w:val="18"/>
          <w:szCs w:val="18"/>
          <w:lang w:val="id-ID"/>
        </w:rPr>
        <w:t>8</w:t>
      </w:r>
      <w:r w:rsidR="00587721" w:rsidRPr="00587721">
        <w:rPr>
          <w:rFonts w:ascii="Arial" w:hAnsi="Arial" w:cs="Arial"/>
          <w:sz w:val="18"/>
          <w:szCs w:val="18"/>
        </w:rPr>
        <w:t>,</w:t>
      </w:r>
      <w:r w:rsidR="00587721" w:rsidRPr="00587721">
        <w:rPr>
          <w:rFonts w:ascii="Arial" w:hAnsi="Arial" w:cs="Arial"/>
          <w:sz w:val="18"/>
          <w:szCs w:val="18"/>
          <w:lang w:val="id-ID"/>
        </w:rPr>
        <w:t>4</w:t>
      </w:r>
      <w:r w:rsidR="00587721" w:rsidRPr="00587721">
        <w:rPr>
          <w:rFonts w:ascii="Arial" w:hAnsi="Arial" w:cs="Arial"/>
          <w:sz w:val="18"/>
          <w:szCs w:val="18"/>
        </w:rPr>
        <w:t>6%</w:t>
      </w:r>
      <w:r w:rsidR="00587721" w:rsidRPr="00587721">
        <w:rPr>
          <w:rFonts w:ascii="Arial" w:hAnsi="Arial" w:cs="Arial"/>
          <w:sz w:val="18"/>
          <w:szCs w:val="18"/>
          <w:lang w:val="id-ID"/>
        </w:rPr>
        <w:t xml:space="preserve"> (10 siswa)</w:t>
      </w:r>
      <w:r w:rsidR="00587721" w:rsidRPr="00587721">
        <w:rPr>
          <w:rFonts w:ascii="Arial" w:hAnsi="Arial" w:cs="Arial"/>
          <w:sz w:val="18"/>
          <w:szCs w:val="18"/>
        </w:rPr>
        <w:t xml:space="preserve"> menunjuk</w:t>
      </w:r>
      <w:r w:rsidR="00587721" w:rsidRPr="00587721">
        <w:rPr>
          <w:rFonts w:ascii="Arial" w:hAnsi="Arial" w:cs="Arial"/>
          <w:sz w:val="18"/>
          <w:szCs w:val="18"/>
          <w:lang w:val="id-ID"/>
        </w:rPr>
        <w:t>k</w:t>
      </w:r>
      <w:r w:rsidR="00587721" w:rsidRPr="00587721">
        <w:rPr>
          <w:rFonts w:ascii="Arial" w:hAnsi="Arial" w:cs="Arial"/>
          <w:sz w:val="18"/>
          <w:szCs w:val="18"/>
        </w:rPr>
        <w:t>an gambaran normositik hipokromik,</w:t>
      </w:r>
      <w:r w:rsidR="00587721" w:rsidRPr="00587721">
        <w:rPr>
          <w:rFonts w:ascii="Arial" w:hAnsi="Arial" w:cs="Arial"/>
          <w:sz w:val="18"/>
          <w:szCs w:val="18"/>
          <w:lang w:val="id-ID"/>
        </w:rPr>
        <w:t xml:space="preserve"> </w:t>
      </w:r>
      <w:r w:rsidR="00587721" w:rsidRPr="00587721">
        <w:rPr>
          <w:rFonts w:ascii="Arial" w:hAnsi="Arial" w:cs="Arial"/>
          <w:sz w:val="18"/>
          <w:szCs w:val="18"/>
        </w:rPr>
        <w:t>dan 61,5%</w:t>
      </w:r>
      <w:r w:rsidR="00587721" w:rsidRPr="00587721">
        <w:rPr>
          <w:rFonts w:ascii="Arial" w:hAnsi="Arial" w:cs="Arial"/>
          <w:sz w:val="18"/>
          <w:szCs w:val="18"/>
          <w:lang w:val="id-ID"/>
        </w:rPr>
        <w:t xml:space="preserve"> (16 siswa)</w:t>
      </w:r>
      <w:r w:rsidR="00587721" w:rsidRPr="00587721">
        <w:rPr>
          <w:rFonts w:ascii="Arial" w:hAnsi="Arial" w:cs="Arial"/>
          <w:sz w:val="18"/>
          <w:szCs w:val="18"/>
        </w:rPr>
        <w:t xml:space="preserve"> </w:t>
      </w:r>
      <w:r w:rsidR="00587721" w:rsidRPr="00587721">
        <w:rPr>
          <w:rFonts w:ascii="Arial" w:hAnsi="Arial" w:cs="Arial"/>
          <w:sz w:val="18"/>
          <w:szCs w:val="18"/>
          <w:lang w:val="id-ID"/>
        </w:rPr>
        <w:t xml:space="preserve">menunjukkan </w:t>
      </w:r>
      <w:r w:rsidR="00587721" w:rsidRPr="00587721">
        <w:rPr>
          <w:rFonts w:ascii="Arial" w:hAnsi="Arial" w:cs="Arial"/>
          <w:sz w:val="18"/>
          <w:szCs w:val="18"/>
        </w:rPr>
        <w:t>jenis anemia mikrositik hipokromik</w:t>
      </w:r>
      <w:r w:rsidRPr="00587721">
        <w:rPr>
          <w:rFonts w:ascii="Arial" w:hAnsi="Arial" w:cs="Arial"/>
          <w:sz w:val="18"/>
          <w:szCs w:val="18"/>
        </w:rPr>
        <w:t>.</w:t>
      </w:r>
    </w:p>
    <w:p w:rsidR="007F16D4" w:rsidRPr="007F16D4" w:rsidRDefault="002B3161" w:rsidP="002B3161">
      <w:pPr>
        <w:pStyle w:val="NoSpacing"/>
        <w:ind w:left="0"/>
        <w:rPr>
          <w:rFonts w:ascii="Arial" w:hAnsi="Arial" w:cs="Arial"/>
          <w:i/>
          <w:sz w:val="18"/>
          <w:szCs w:val="18"/>
          <w:lang w:val="id-ID"/>
        </w:rPr>
      </w:pPr>
      <w:r w:rsidRPr="007D2CFD">
        <w:rPr>
          <w:rFonts w:ascii="Arial" w:hAnsi="Arial" w:cs="Arial"/>
          <w:b/>
          <w:sz w:val="18"/>
          <w:szCs w:val="18"/>
          <w:lang w:val="id-ID"/>
        </w:rPr>
        <w:t>Kesimpulan</w:t>
      </w:r>
      <w:r w:rsidRPr="007D2CFD">
        <w:rPr>
          <w:rFonts w:ascii="Arial" w:hAnsi="Arial" w:cs="Arial"/>
          <w:sz w:val="18"/>
          <w:szCs w:val="18"/>
          <w:lang w:val="id-ID"/>
        </w:rPr>
        <w:t>:</w:t>
      </w:r>
      <w:r w:rsidR="00587721" w:rsidRPr="00587721">
        <w:rPr>
          <w:rFonts w:ascii="Times New Roman" w:hAnsi="Times New Roman"/>
          <w:sz w:val="24"/>
          <w:szCs w:val="24"/>
          <w:lang w:val="id-ID"/>
        </w:rPr>
        <w:t xml:space="preserve"> </w:t>
      </w:r>
      <w:r w:rsidR="00587721" w:rsidRPr="00587721">
        <w:rPr>
          <w:rFonts w:ascii="Arial" w:hAnsi="Arial" w:cs="Arial"/>
          <w:sz w:val="18"/>
          <w:szCs w:val="18"/>
          <w:lang w:val="id-ID"/>
        </w:rPr>
        <w:t xml:space="preserve">Jenis anemia berdasarkan indeks eritrosit pada siswa SMP di daerah pantai Kecamatan Tanjung adalah anemia normositik hipokromik </w:t>
      </w:r>
      <w:r w:rsidR="00587721" w:rsidRPr="00587721">
        <w:rPr>
          <w:rFonts w:ascii="Arial" w:hAnsi="Arial" w:cs="Arial"/>
          <w:sz w:val="18"/>
          <w:szCs w:val="18"/>
        </w:rPr>
        <w:t>3</w:t>
      </w:r>
      <w:r w:rsidR="00587721" w:rsidRPr="00587721">
        <w:rPr>
          <w:rFonts w:ascii="Arial" w:hAnsi="Arial" w:cs="Arial"/>
          <w:sz w:val="18"/>
          <w:szCs w:val="18"/>
          <w:lang w:val="id-ID"/>
        </w:rPr>
        <w:t>8</w:t>
      </w:r>
      <w:r w:rsidR="00587721" w:rsidRPr="00587721">
        <w:rPr>
          <w:rFonts w:ascii="Arial" w:hAnsi="Arial" w:cs="Arial"/>
          <w:sz w:val="18"/>
          <w:szCs w:val="18"/>
        </w:rPr>
        <w:t>,</w:t>
      </w:r>
      <w:r w:rsidR="00587721" w:rsidRPr="00587721">
        <w:rPr>
          <w:rFonts w:ascii="Arial" w:hAnsi="Arial" w:cs="Arial"/>
          <w:sz w:val="18"/>
          <w:szCs w:val="18"/>
          <w:lang w:val="id-ID"/>
        </w:rPr>
        <w:t>4</w:t>
      </w:r>
      <w:r w:rsidR="00587721" w:rsidRPr="00587721">
        <w:rPr>
          <w:rFonts w:ascii="Arial" w:hAnsi="Arial" w:cs="Arial"/>
          <w:sz w:val="18"/>
          <w:szCs w:val="18"/>
        </w:rPr>
        <w:t>6%</w:t>
      </w:r>
      <w:r w:rsidR="00587721" w:rsidRPr="00587721">
        <w:rPr>
          <w:rFonts w:ascii="Arial" w:hAnsi="Arial" w:cs="Arial"/>
          <w:sz w:val="18"/>
          <w:szCs w:val="18"/>
          <w:lang w:val="id-ID"/>
        </w:rPr>
        <w:t xml:space="preserve"> (10 siswa) dan anemia mikrositik hipokromik </w:t>
      </w:r>
      <w:r w:rsidR="00587721" w:rsidRPr="00587721">
        <w:rPr>
          <w:rFonts w:ascii="Arial" w:hAnsi="Arial" w:cs="Arial"/>
          <w:sz w:val="18"/>
          <w:szCs w:val="18"/>
        </w:rPr>
        <w:t>61,5%</w:t>
      </w:r>
      <w:r w:rsidR="00587721" w:rsidRPr="00587721">
        <w:rPr>
          <w:rFonts w:ascii="Arial" w:hAnsi="Arial" w:cs="Arial"/>
          <w:sz w:val="18"/>
          <w:szCs w:val="18"/>
          <w:lang w:val="id-ID"/>
        </w:rPr>
        <w:t xml:space="preserve"> (16 siswa)</w:t>
      </w:r>
      <w:r w:rsidRPr="00587721">
        <w:rPr>
          <w:rFonts w:ascii="Arial" w:hAnsi="Arial" w:cs="Arial"/>
          <w:i/>
          <w:sz w:val="18"/>
          <w:szCs w:val="18"/>
        </w:rPr>
        <w:t>.</w:t>
      </w:r>
    </w:p>
    <w:p w:rsidR="007F16D4" w:rsidRDefault="007F16D4" w:rsidP="007F16D4">
      <w:pPr>
        <w:pStyle w:val="NoSpacing"/>
        <w:ind w:left="0"/>
        <w:jc w:val="left"/>
        <w:rPr>
          <w:rFonts w:ascii="Arial" w:hAnsi="Arial" w:cs="Arial"/>
          <w:b/>
          <w:sz w:val="18"/>
          <w:szCs w:val="18"/>
          <w:lang w:val="id-ID"/>
        </w:rPr>
      </w:pPr>
    </w:p>
    <w:p w:rsidR="002B3161" w:rsidRPr="007F16D4" w:rsidRDefault="002B3161" w:rsidP="007F16D4">
      <w:pPr>
        <w:pStyle w:val="NoSpacing"/>
        <w:ind w:left="0"/>
        <w:jc w:val="left"/>
        <w:rPr>
          <w:rFonts w:ascii="Arial" w:hAnsi="Arial" w:cs="Arial"/>
          <w:sz w:val="18"/>
          <w:szCs w:val="18"/>
          <w:lang w:val="id-ID"/>
        </w:rPr>
        <w:sectPr w:rsidR="002B3161" w:rsidRPr="007F16D4" w:rsidSect="002B3161">
          <w:headerReference w:type="first" r:id="rId9"/>
          <w:footerReference w:type="first" r:id="rId10"/>
          <w:pgSz w:w="11907" w:h="16839" w:code="9"/>
          <w:pgMar w:top="2275" w:right="1699" w:bottom="1699" w:left="2275" w:header="720" w:footer="720" w:gutter="0"/>
          <w:cols w:space="720"/>
          <w:titlePg/>
          <w:docGrid w:linePitch="360"/>
        </w:sectPr>
      </w:pPr>
      <w:r w:rsidRPr="007D2CFD">
        <w:rPr>
          <w:rFonts w:ascii="Arial" w:hAnsi="Arial" w:cs="Arial"/>
          <w:b/>
          <w:sz w:val="18"/>
          <w:szCs w:val="18"/>
          <w:lang w:val="id-ID"/>
        </w:rPr>
        <w:t>Kata kunci</w:t>
      </w:r>
      <w:r w:rsidRPr="007D2CFD">
        <w:rPr>
          <w:rFonts w:ascii="Arial" w:hAnsi="Arial" w:cs="Arial"/>
          <w:sz w:val="18"/>
          <w:szCs w:val="18"/>
          <w:lang w:val="id-ID"/>
        </w:rPr>
        <w:t>:</w:t>
      </w:r>
      <w:r w:rsidRPr="007F16D4">
        <w:rPr>
          <w:rFonts w:ascii="Arial" w:hAnsi="Arial" w:cs="Arial"/>
          <w:i/>
          <w:sz w:val="18"/>
          <w:szCs w:val="18"/>
          <w:lang w:val="id-ID"/>
        </w:rPr>
        <w:t xml:space="preserve"> </w:t>
      </w:r>
      <w:r w:rsidR="00587721" w:rsidRPr="007F16D4">
        <w:rPr>
          <w:rFonts w:ascii="Arial" w:hAnsi="Arial" w:cs="Arial"/>
          <w:i/>
          <w:sz w:val="18"/>
          <w:szCs w:val="18"/>
          <w:lang w:val="id-ID"/>
        </w:rPr>
        <w:t>a</w:t>
      </w:r>
      <w:r w:rsidR="00587721" w:rsidRPr="007F16D4">
        <w:rPr>
          <w:rFonts w:ascii="Arial" w:hAnsi="Arial" w:cs="Arial"/>
          <w:i/>
          <w:sz w:val="18"/>
          <w:szCs w:val="18"/>
        </w:rPr>
        <w:t>nemia</w:t>
      </w:r>
      <w:r w:rsidR="00587721" w:rsidRPr="007F16D4">
        <w:rPr>
          <w:rFonts w:ascii="Arial" w:hAnsi="Arial" w:cs="Arial"/>
          <w:i/>
          <w:sz w:val="18"/>
          <w:szCs w:val="18"/>
          <w:lang w:val="id-ID"/>
        </w:rPr>
        <w:t>, i</w:t>
      </w:r>
      <w:r w:rsidR="00587721" w:rsidRPr="007F16D4">
        <w:rPr>
          <w:rFonts w:ascii="Arial" w:hAnsi="Arial" w:cs="Arial"/>
          <w:i/>
          <w:sz w:val="18"/>
          <w:szCs w:val="18"/>
        </w:rPr>
        <w:t>ndeks eritrosit</w:t>
      </w:r>
      <w:r w:rsidR="00587721" w:rsidRPr="007F16D4">
        <w:rPr>
          <w:rFonts w:ascii="Arial" w:hAnsi="Arial" w:cs="Arial"/>
          <w:i/>
          <w:sz w:val="18"/>
          <w:szCs w:val="18"/>
          <w:lang w:val="id-ID"/>
        </w:rPr>
        <w:t>, p</w:t>
      </w:r>
      <w:r w:rsidR="00587721" w:rsidRPr="007F16D4">
        <w:rPr>
          <w:rFonts w:ascii="Arial" w:hAnsi="Arial" w:cs="Arial"/>
          <w:i/>
          <w:sz w:val="18"/>
          <w:szCs w:val="18"/>
        </w:rPr>
        <w:t>anta</w:t>
      </w:r>
      <w:r w:rsidR="007F16D4">
        <w:rPr>
          <w:rFonts w:ascii="Arial" w:hAnsi="Arial" w:cs="Arial"/>
          <w:i/>
          <w:sz w:val="18"/>
          <w:szCs w:val="18"/>
          <w:lang w:val="id-ID"/>
        </w:rPr>
        <w:t>i</w:t>
      </w:r>
    </w:p>
    <w:p w:rsidR="00685A8E" w:rsidRPr="007D2CFD" w:rsidRDefault="00685A8E" w:rsidP="00CF7EDF">
      <w:pPr>
        <w:spacing w:line="360" w:lineRule="auto"/>
        <w:jc w:val="both"/>
        <w:rPr>
          <w:rFonts w:ascii="Arial" w:hAnsi="Arial" w:cs="Arial"/>
          <w:b/>
          <w:sz w:val="20"/>
          <w:szCs w:val="20"/>
        </w:rPr>
      </w:pPr>
      <w:r w:rsidRPr="007D2CFD">
        <w:rPr>
          <w:rFonts w:ascii="Arial" w:hAnsi="Arial" w:cs="Arial"/>
          <w:b/>
          <w:sz w:val="20"/>
          <w:szCs w:val="20"/>
        </w:rPr>
        <w:lastRenderedPageBreak/>
        <w:t>PENDAHULUAN</w:t>
      </w:r>
    </w:p>
    <w:p w:rsidR="007F16D4" w:rsidRPr="00C70966" w:rsidRDefault="007F16D4" w:rsidP="007F16D4">
      <w:pPr>
        <w:pStyle w:val="ListParagraph"/>
        <w:spacing w:line="360" w:lineRule="auto"/>
        <w:ind w:left="0" w:firstLine="425"/>
        <w:jc w:val="both"/>
        <w:rPr>
          <w:rFonts w:ascii="Arial" w:hAnsi="Arial" w:cs="Arial"/>
          <w:sz w:val="20"/>
          <w:szCs w:val="20"/>
          <w:vertAlign w:val="superscript"/>
          <w:lang w:val="id-ID"/>
        </w:rPr>
      </w:pPr>
      <w:r w:rsidRPr="007F16D4">
        <w:rPr>
          <w:rFonts w:ascii="Arial" w:hAnsi="Arial" w:cs="Arial"/>
          <w:sz w:val="20"/>
          <w:szCs w:val="20"/>
        </w:rPr>
        <w:t xml:space="preserve">Secara fungsional anemia didefinisikan sebagai penurunan jumlah massa eritrosit </w:t>
      </w:r>
      <w:r w:rsidRPr="007F16D4">
        <w:rPr>
          <w:rFonts w:ascii="Arial" w:hAnsi="Arial" w:cs="Arial"/>
          <w:i/>
          <w:sz w:val="20"/>
          <w:szCs w:val="20"/>
        </w:rPr>
        <w:t>(red cell mass)</w:t>
      </w:r>
      <w:r w:rsidRPr="007F16D4">
        <w:rPr>
          <w:rFonts w:ascii="Arial" w:hAnsi="Arial" w:cs="Arial"/>
          <w:sz w:val="20"/>
          <w:szCs w:val="20"/>
        </w:rPr>
        <w:t xml:space="preserve"> atau penurunan konsentrasi hemoglobin sehingga tidak dapat memenuhi fungsinya untuk membawa oksigen dalam jumlah yang cukup ke jaringan perifer. Kelainan ini merupakan penyebab kelemahan kronik yang mempunyai dampak besar terhadap kesejahteraan sosial, ekonomi</w:t>
      </w:r>
      <w:r w:rsidRPr="007F16D4">
        <w:rPr>
          <w:rFonts w:ascii="Arial" w:hAnsi="Arial" w:cs="Arial"/>
          <w:sz w:val="20"/>
          <w:szCs w:val="20"/>
          <w:lang w:val="id-ID"/>
        </w:rPr>
        <w:t>,</w:t>
      </w:r>
      <w:r w:rsidR="00445144">
        <w:rPr>
          <w:rFonts w:ascii="Arial" w:hAnsi="Arial" w:cs="Arial"/>
          <w:sz w:val="20"/>
          <w:szCs w:val="20"/>
        </w:rPr>
        <w:t xml:space="preserve"> serta kesehatan fisik</w:t>
      </w:r>
      <w:r w:rsidR="00445144">
        <w:rPr>
          <w:rFonts w:ascii="Arial" w:hAnsi="Arial" w:cs="Arial"/>
          <w:sz w:val="20"/>
          <w:szCs w:val="20"/>
          <w:lang w:val="id-ID"/>
        </w:rPr>
        <w:t>.</w:t>
      </w:r>
      <w:r w:rsidR="00445144">
        <w:rPr>
          <w:rFonts w:ascii="Arial" w:hAnsi="Arial" w:cs="Arial"/>
          <w:sz w:val="20"/>
          <w:szCs w:val="20"/>
          <w:vertAlign w:val="superscript"/>
          <w:lang w:val="id-ID"/>
        </w:rPr>
        <w:t>1,2</w:t>
      </w:r>
      <w:r w:rsidRPr="007F16D4">
        <w:rPr>
          <w:rFonts w:ascii="Arial" w:hAnsi="Arial" w:cs="Arial"/>
          <w:sz w:val="20"/>
          <w:szCs w:val="20"/>
          <w:lang w:val="id-ID"/>
        </w:rPr>
        <w:t xml:space="preserve"> </w:t>
      </w:r>
      <w:r w:rsidRPr="007F16D4">
        <w:rPr>
          <w:rFonts w:ascii="Arial" w:hAnsi="Arial" w:cs="Arial"/>
          <w:sz w:val="20"/>
          <w:szCs w:val="20"/>
        </w:rPr>
        <w:t>Di</w:t>
      </w:r>
      <w:r w:rsidRPr="007F16D4">
        <w:rPr>
          <w:rFonts w:ascii="Arial" w:hAnsi="Arial" w:cs="Arial"/>
          <w:sz w:val="20"/>
          <w:szCs w:val="20"/>
          <w:lang w:val="id-ID"/>
        </w:rPr>
        <w:t xml:space="preserve"> </w:t>
      </w:r>
      <w:r w:rsidRPr="007F16D4">
        <w:rPr>
          <w:rFonts w:ascii="Arial" w:hAnsi="Arial" w:cs="Arial"/>
          <w:sz w:val="20"/>
          <w:szCs w:val="20"/>
        </w:rPr>
        <w:t>seluruh dunia diperkirakan lebih dari 30% penduduk dunia atau 1</w:t>
      </w:r>
      <w:r w:rsidRPr="007F16D4">
        <w:rPr>
          <w:rFonts w:ascii="Arial" w:hAnsi="Arial" w:cs="Arial"/>
          <w:sz w:val="20"/>
          <w:szCs w:val="20"/>
          <w:lang w:val="id-ID"/>
        </w:rPr>
        <w:t>,</w:t>
      </w:r>
      <w:r w:rsidRPr="007F16D4">
        <w:rPr>
          <w:rFonts w:ascii="Arial" w:hAnsi="Arial" w:cs="Arial"/>
          <w:sz w:val="20"/>
          <w:szCs w:val="20"/>
        </w:rPr>
        <w:t>5</w:t>
      </w:r>
      <w:r w:rsidRPr="007F16D4">
        <w:rPr>
          <w:rFonts w:ascii="Arial" w:hAnsi="Arial" w:cs="Arial"/>
          <w:sz w:val="20"/>
          <w:szCs w:val="20"/>
          <w:lang w:val="id-ID"/>
        </w:rPr>
        <w:t xml:space="preserve"> milyar</w:t>
      </w:r>
      <w:r w:rsidRPr="007F16D4">
        <w:rPr>
          <w:rFonts w:ascii="Arial" w:hAnsi="Arial" w:cs="Arial"/>
          <w:sz w:val="20"/>
          <w:szCs w:val="20"/>
        </w:rPr>
        <w:t xml:space="preserve"> orang menderita anemia</w:t>
      </w:r>
      <w:r w:rsidRPr="007F16D4">
        <w:rPr>
          <w:rFonts w:ascii="Arial" w:hAnsi="Arial" w:cs="Arial"/>
          <w:sz w:val="20"/>
          <w:szCs w:val="20"/>
          <w:lang w:val="id-ID"/>
        </w:rPr>
        <w:t>,</w:t>
      </w:r>
      <w:r w:rsidRPr="007F16D4">
        <w:rPr>
          <w:rFonts w:ascii="Arial" w:hAnsi="Arial" w:cs="Arial"/>
          <w:sz w:val="20"/>
          <w:szCs w:val="20"/>
        </w:rPr>
        <w:t xml:space="preserve"> sebagian besar tinggal di daerah tropis terutama di negara-negara berkembang termasuk Indonesia.</w:t>
      </w:r>
      <w:r w:rsidR="00C70966">
        <w:rPr>
          <w:rFonts w:ascii="Arial" w:hAnsi="Arial" w:cs="Arial"/>
          <w:sz w:val="20"/>
          <w:szCs w:val="20"/>
          <w:vertAlign w:val="superscript"/>
          <w:lang w:val="id-ID"/>
        </w:rPr>
        <w:t>2</w:t>
      </w:r>
    </w:p>
    <w:p w:rsidR="007F16D4" w:rsidRPr="007F16D4" w:rsidRDefault="007F16D4" w:rsidP="007F16D4">
      <w:pPr>
        <w:pStyle w:val="ListParagraph"/>
        <w:autoSpaceDE w:val="0"/>
        <w:autoSpaceDN w:val="0"/>
        <w:adjustRightInd w:val="0"/>
        <w:spacing w:after="0" w:line="360" w:lineRule="auto"/>
        <w:ind w:left="0" w:firstLine="360"/>
        <w:jc w:val="both"/>
        <w:rPr>
          <w:rFonts w:ascii="Arial" w:hAnsi="Arial" w:cs="Arial"/>
          <w:sz w:val="20"/>
          <w:szCs w:val="20"/>
          <w:lang w:val="id-ID"/>
        </w:rPr>
      </w:pPr>
      <w:r w:rsidRPr="007F16D4">
        <w:rPr>
          <w:rFonts w:ascii="Arial" w:hAnsi="Arial" w:cs="Arial"/>
          <w:sz w:val="20"/>
          <w:szCs w:val="20"/>
          <w:lang w:val="id-ID"/>
        </w:rPr>
        <w:t>A</w:t>
      </w:r>
      <w:r w:rsidRPr="007F16D4">
        <w:rPr>
          <w:rFonts w:ascii="Arial" w:hAnsi="Arial" w:cs="Arial"/>
          <w:sz w:val="20"/>
          <w:szCs w:val="20"/>
        </w:rPr>
        <w:t xml:space="preserve">nemia </w:t>
      </w:r>
      <w:r w:rsidRPr="007F16D4">
        <w:rPr>
          <w:rFonts w:ascii="Arial" w:hAnsi="Arial" w:cs="Arial"/>
          <w:sz w:val="20"/>
          <w:szCs w:val="20"/>
          <w:lang w:val="id-ID"/>
        </w:rPr>
        <w:t>merupakan</w:t>
      </w:r>
      <w:r w:rsidRPr="007F16D4">
        <w:rPr>
          <w:rFonts w:ascii="Arial" w:hAnsi="Arial" w:cs="Arial"/>
          <w:sz w:val="20"/>
          <w:szCs w:val="20"/>
        </w:rPr>
        <w:t xml:space="preserve"> penurunan kadar hemoglobin, hematokrit, atau hitung eritrosit</w:t>
      </w:r>
      <w:r w:rsidRPr="007F16D4">
        <w:rPr>
          <w:rFonts w:ascii="Arial" w:hAnsi="Arial" w:cs="Arial"/>
          <w:sz w:val="20"/>
          <w:szCs w:val="20"/>
          <w:lang w:val="id-ID"/>
        </w:rPr>
        <w:t>,</w:t>
      </w:r>
      <w:r w:rsidRPr="007F16D4">
        <w:rPr>
          <w:rFonts w:ascii="Arial" w:hAnsi="Arial" w:cs="Arial"/>
          <w:sz w:val="20"/>
          <w:szCs w:val="20"/>
        </w:rPr>
        <w:t xml:space="preserve"> </w:t>
      </w:r>
      <w:r w:rsidRPr="007F16D4">
        <w:rPr>
          <w:rFonts w:ascii="Arial" w:hAnsi="Arial" w:cs="Arial"/>
          <w:sz w:val="20"/>
          <w:szCs w:val="20"/>
          <w:lang w:val="id-ID"/>
        </w:rPr>
        <w:t>t</w:t>
      </w:r>
      <w:r w:rsidRPr="007F16D4">
        <w:rPr>
          <w:rFonts w:ascii="Arial" w:hAnsi="Arial" w:cs="Arial"/>
          <w:sz w:val="20"/>
          <w:szCs w:val="20"/>
        </w:rPr>
        <w:t xml:space="preserve">etapi yang paling lazim </w:t>
      </w:r>
      <w:r w:rsidRPr="007F16D4">
        <w:rPr>
          <w:rFonts w:ascii="Arial" w:hAnsi="Arial" w:cs="Arial"/>
          <w:sz w:val="20"/>
          <w:szCs w:val="20"/>
          <w:lang w:val="id-ID"/>
        </w:rPr>
        <w:t>diukur</w:t>
      </w:r>
      <w:r w:rsidR="00C70966">
        <w:rPr>
          <w:rFonts w:ascii="Arial" w:hAnsi="Arial" w:cs="Arial"/>
          <w:sz w:val="20"/>
          <w:szCs w:val="20"/>
        </w:rPr>
        <w:t xml:space="preserve"> adalah kadar hemoglobin</w:t>
      </w:r>
      <w:r w:rsidRPr="007F16D4">
        <w:rPr>
          <w:rFonts w:ascii="Arial" w:hAnsi="Arial" w:cs="Arial"/>
          <w:sz w:val="20"/>
          <w:szCs w:val="20"/>
        </w:rPr>
        <w:t>.</w:t>
      </w:r>
      <w:r w:rsidR="00C70966">
        <w:rPr>
          <w:rFonts w:ascii="Arial" w:hAnsi="Arial" w:cs="Arial"/>
          <w:sz w:val="20"/>
          <w:szCs w:val="20"/>
          <w:vertAlign w:val="superscript"/>
          <w:lang w:val="id-ID"/>
        </w:rPr>
        <w:t>2</w:t>
      </w:r>
      <w:r w:rsidRPr="007F16D4">
        <w:rPr>
          <w:rFonts w:ascii="Arial" w:hAnsi="Arial" w:cs="Arial"/>
          <w:sz w:val="20"/>
          <w:szCs w:val="20"/>
          <w:lang w:val="id-ID"/>
        </w:rPr>
        <w:t xml:space="preserve"> </w:t>
      </w:r>
      <w:r w:rsidRPr="007F16D4">
        <w:rPr>
          <w:rFonts w:ascii="Arial" w:hAnsi="Arial" w:cs="Arial"/>
          <w:sz w:val="20"/>
          <w:szCs w:val="20"/>
        </w:rPr>
        <w:t>Kadar hemoglobin dipengaruhi oleh berbagai macam faktor, diantaranya adalah usia, jenis kelamin, status gizi, penyakit kronis</w:t>
      </w:r>
      <w:r w:rsidRPr="007F16D4">
        <w:rPr>
          <w:rFonts w:ascii="Arial" w:hAnsi="Arial" w:cs="Arial"/>
          <w:sz w:val="20"/>
          <w:szCs w:val="20"/>
          <w:lang w:val="id-ID"/>
        </w:rPr>
        <w:t>,</w:t>
      </w:r>
      <w:r w:rsidRPr="007F16D4">
        <w:rPr>
          <w:rFonts w:ascii="Arial" w:hAnsi="Arial" w:cs="Arial"/>
          <w:sz w:val="20"/>
          <w:szCs w:val="20"/>
        </w:rPr>
        <w:t xml:space="preserve"> serta keadaan </w:t>
      </w:r>
      <w:r w:rsidRPr="007F16D4">
        <w:rPr>
          <w:rFonts w:ascii="Arial" w:hAnsi="Arial" w:cs="Arial"/>
          <w:sz w:val="20"/>
          <w:szCs w:val="20"/>
          <w:lang w:val="id-ID"/>
        </w:rPr>
        <w:t>geogra</w:t>
      </w:r>
      <w:r w:rsidRPr="007F16D4">
        <w:rPr>
          <w:rFonts w:ascii="Arial" w:hAnsi="Arial" w:cs="Arial"/>
          <w:sz w:val="20"/>
          <w:szCs w:val="20"/>
        </w:rPr>
        <w:t xml:space="preserve">fis </w:t>
      </w:r>
      <w:r w:rsidR="00C70966">
        <w:rPr>
          <w:rFonts w:ascii="Arial" w:hAnsi="Arial" w:cs="Arial"/>
          <w:sz w:val="20"/>
          <w:szCs w:val="20"/>
          <w:lang w:val="id-ID"/>
        </w:rPr>
        <w:t>dan demografis</w:t>
      </w:r>
      <w:r w:rsidRPr="007F16D4">
        <w:rPr>
          <w:rFonts w:ascii="Arial" w:hAnsi="Arial" w:cs="Arial"/>
          <w:sz w:val="20"/>
          <w:szCs w:val="20"/>
        </w:rPr>
        <w:t>.</w:t>
      </w:r>
      <w:r w:rsidR="00C70966">
        <w:rPr>
          <w:rFonts w:ascii="Arial" w:hAnsi="Arial" w:cs="Arial"/>
          <w:sz w:val="20"/>
          <w:szCs w:val="20"/>
          <w:vertAlign w:val="superscript"/>
          <w:lang w:val="id-ID"/>
        </w:rPr>
        <w:t>3</w:t>
      </w:r>
      <w:r w:rsidRPr="007F16D4">
        <w:rPr>
          <w:rFonts w:ascii="Arial" w:hAnsi="Arial" w:cs="Arial"/>
          <w:sz w:val="20"/>
          <w:szCs w:val="20"/>
          <w:lang w:val="id-ID"/>
        </w:rPr>
        <w:t xml:space="preserve"> </w:t>
      </w:r>
    </w:p>
    <w:p w:rsidR="007F16D4" w:rsidRPr="00C70966" w:rsidRDefault="007F16D4" w:rsidP="007F16D4">
      <w:pPr>
        <w:pStyle w:val="ListParagraph"/>
        <w:autoSpaceDE w:val="0"/>
        <w:autoSpaceDN w:val="0"/>
        <w:adjustRightInd w:val="0"/>
        <w:spacing w:after="0" w:line="360" w:lineRule="auto"/>
        <w:ind w:left="0" w:firstLine="360"/>
        <w:jc w:val="both"/>
        <w:rPr>
          <w:rFonts w:ascii="Arial" w:hAnsi="Arial" w:cs="Arial"/>
          <w:sz w:val="20"/>
          <w:szCs w:val="20"/>
          <w:vertAlign w:val="superscript"/>
          <w:lang w:val="id-ID"/>
        </w:rPr>
      </w:pPr>
      <w:r w:rsidRPr="007F16D4">
        <w:rPr>
          <w:rFonts w:ascii="Arial" w:hAnsi="Arial" w:cs="Arial"/>
          <w:sz w:val="20"/>
          <w:szCs w:val="20"/>
          <w:lang w:val="id-ID"/>
        </w:rPr>
        <w:t>F</w:t>
      </w:r>
      <w:r w:rsidRPr="007F16D4">
        <w:rPr>
          <w:rFonts w:ascii="Arial" w:hAnsi="Arial" w:cs="Arial"/>
          <w:sz w:val="20"/>
          <w:szCs w:val="20"/>
        </w:rPr>
        <w:t>aktor yang berperan</w:t>
      </w:r>
      <w:r w:rsidRPr="007F16D4">
        <w:rPr>
          <w:rFonts w:ascii="Arial" w:hAnsi="Arial" w:cs="Arial"/>
          <w:sz w:val="20"/>
          <w:szCs w:val="20"/>
          <w:lang w:val="id-ID"/>
        </w:rPr>
        <w:t xml:space="preserve"> </w:t>
      </w:r>
      <w:r w:rsidRPr="007F16D4">
        <w:rPr>
          <w:rFonts w:ascii="Arial" w:hAnsi="Arial" w:cs="Arial"/>
          <w:sz w:val="20"/>
          <w:szCs w:val="20"/>
        </w:rPr>
        <w:t>mempengaruhi angka kejadia</w:t>
      </w:r>
      <w:r w:rsidRPr="007F16D4">
        <w:rPr>
          <w:rFonts w:ascii="Arial" w:hAnsi="Arial" w:cs="Arial"/>
          <w:sz w:val="20"/>
          <w:szCs w:val="20"/>
          <w:lang w:val="id-ID"/>
        </w:rPr>
        <w:t>n</w:t>
      </w:r>
      <w:r w:rsidRPr="007F16D4">
        <w:rPr>
          <w:rFonts w:ascii="Arial" w:hAnsi="Arial" w:cs="Arial"/>
          <w:sz w:val="20"/>
          <w:szCs w:val="20"/>
        </w:rPr>
        <w:t xml:space="preserve"> </w:t>
      </w:r>
      <w:r w:rsidRPr="007F16D4">
        <w:rPr>
          <w:rFonts w:ascii="Arial" w:hAnsi="Arial" w:cs="Arial"/>
          <w:sz w:val="20"/>
          <w:szCs w:val="20"/>
          <w:lang w:val="id-ID"/>
        </w:rPr>
        <w:t xml:space="preserve">anemia yang kurang diperhatikan saat </w:t>
      </w:r>
      <w:r w:rsidRPr="007F16D4">
        <w:rPr>
          <w:rFonts w:ascii="Arial" w:hAnsi="Arial" w:cs="Arial"/>
          <w:sz w:val="20"/>
          <w:szCs w:val="20"/>
        </w:rPr>
        <w:t>ini</w:t>
      </w:r>
      <w:r w:rsidRPr="007F16D4">
        <w:rPr>
          <w:rFonts w:ascii="Arial" w:hAnsi="Arial" w:cs="Arial"/>
          <w:sz w:val="20"/>
          <w:szCs w:val="20"/>
          <w:lang w:val="id-ID"/>
        </w:rPr>
        <w:t xml:space="preserve"> </w:t>
      </w:r>
      <w:r w:rsidRPr="007F16D4">
        <w:rPr>
          <w:rFonts w:ascii="Arial" w:hAnsi="Arial" w:cs="Arial"/>
          <w:sz w:val="20"/>
          <w:szCs w:val="20"/>
        </w:rPr>
        <w:t xml:space="preserve">adalah </w:t>
      </w:r>
      <w:r w:rsidRPr="007F16D4">
        <w:rPr>
          <w:rFonts w:ascii="Arial" w:hAnsi="Arial" w:cs="Arial"/>
          <w:sz w:val="20"/>
          <w:szCs w:val="20"/>
          <w:lang w:val="id-ID"/>
        </w:rPr>
        <w:t>kondisi demografis</w:t>
      </w:r>
      <w:r w:rsidRPr="007F16D4">
        <w:rPr>
          <w:rFonts w:ascii="Arial" w:hAnsi="Arial" w:cs="Arial"/>
          <w:sz w:val="20"/>
          <w:szCs w:val="20"/>
        </w:rPr>
        <w:t xml:space="preserve"> masing-masing</w:t>
      </w:r>
      <w:r w:rsidRPr="007F16D4">
        <w:rPr>
          <w:rFonts w:ascii="Arial" w:hAnsi="Arial" w:cs="Arial"/>
          <w:sz w:val="20"/>
          <w:szCs w:val="20"/>
          <w:lang w:val="id-ID"/>
        </w:rPr>
        <w:t xml:space="preserve"> </w:t>
      </w:r>
      <w:r w:rsidRPr="007F16D4">
        <w:rPr>
          <w:rFonts w:ascii="Arial" w:hAnsi="Arial" w:cs="Arial"/>
          <w:sz w:val="20"/>
          <w:szCs w:val="20"/>
        </w:rPr>
        <w:t>daerah.</w:t>
      </w:r>
      <w:r w:rsidRPr="007F16D4">
        <w:rPr>
          <w:rFonts w:ascii="Arial" w:hAnsi="Arial" w:cs="Arial"/>
          <w:sz w:val="20"/>
          <w:szCs w:val="20"/>
          <w:lang w:val="id-ID"/>
        </w:rPr>
        <w:t xml:space="preserve"> Masyarakat di daerah pantai pada umumnya memiliki status sosial ekonomi yang rendah dan hal berperan dala</w:t>
      </w:r>
      <w:r w:rsidR="00C70966">
        <w:rPr>
          <w:rFonts w:ascii="Arial" w:hAnsi="Arial" w:cs="Arial"/>
          <w:sz w:val="20"/>
          <w:szCs w:val="20"/>
          <w:lang w:val="id-ID"/>
        </w:rPr>
        <w:t>m kejadian anemia</w:t>
      </w:r>
      <w:r w:rsidRPr="007F16D4">
        <w:rPr>
          <w:rFonts w:ascii="Arial" w:hAnsi="Arial" w:cs="Arial"/>
          <w:sz w:val="20"/>
          <w:szCs w:val="20"/>
        </w:rPr>
        <w:t>.</w:t>
      </w:r>
      <w:r w:rsidR="00C70966">
        <w:rPr>
          <w:rFonts w:ascii="Arial" w:hAnsi="Arial" w:cs="Arial"/>
          <w:sz w:val="20"/>
          <w:szCs w:val="20"/>
          <w:vertAlign w:val="superscript"/>
          <w:lang w:val="id-ID"/>
        </w:rPr>
        <w:t>4,5</w:t>
      </w:r>
      <w:r w:rsidRPr="007F16D4">
        <w:rPr>
          <w:rFonts w:ascii="Arial" w:hAnsi="Arial" w:cs="Arial"/>
          <w:sz w:val="20"/>
          <w:szCs w:val="20"/>
          <w:lang w:val="id-ID"/>
        </w:rPr>
        <w:t xml:space="preserve"> </w:t>
      </w:r>
      <w:r w:rsidR="00C70966">
        <w:rPr>
          <w:rFonts w:ascii="Arial" w:hAnsi="Arial" w:cs="Arial"/>
          <w:sz w:val="20"/>
          <w:szCs w:val="20"/>
          <w:lang w:val="id-ID"/>
        </w:rPr>
        <w:t>P</w:t>
      </w:r>
      <w:r w:rsidRPr="007F16D4">
        <w:rPr>
          <w:rFonts w:ascii="Arial" w:hAnsi="Arial" w:cs="Arial"/>
          <w:sz w:val="20"/>
          <w:szCs w:val="20"/>
          <w:lang w:val="id-ID"/>
        </w:rPr>
        <w:t xml:space="preserve">revalensi anemia di daerah pantai (52%) lebih </w:t>
      </w:r>
      <w:r w:rsidRPr="007F16D4">
        <w:rPr>
          <w:rFonts w:ascii="Arial" w:hAnsi="Arial" w:cs="Arial"/>
          <w:sz w:val="20"/>
          <w:szCs w:val="20"/>
          <w:lang w:val="id-ID"/>
        </w:rPr>
        <w:lastRenderedPageBreak/>
        <w:t>tinggi dibanding daerah pegunungan (24%), dan secara statistik bermakna.</w:t>
      </w:r>
      <w:r w:rsidR="00C70966">
        <w:rPr>
          <w:rFonts w:ascii="Arial" w:hAnsi="Arial" w:cs="Arial"/>
          <w:sz w:val="20"/>
          <w:szCs w:val="20"/>
          <w:vertAlign w:val="superscript"/>
          <w:lang w:val="id-ID"/>
        </w:rPr>
        <w:t>6</w:t>
      </w:r>
    </w:p>
    <w:p w:rsidR="007F16D4" w:rsidRPr="00C70966" w:rsidRDefault="007F16D4" w:rsidP="007F16D4">
      <w:pPr>
        <w:pStyle w:val="ListParagraph"/>
        <w:autoSpaceDE w:val="0"/>
        <w:autoSpaceDN w:val="0"/>
        <w:adjustRightInd w:val="0"/>
        <w:spacing w:after="0" w:line="360" w:lineRule="auto"/>
        <w:ind w:left="0" w:firstLine="360"/>
        <w:jc w:val="both"/>
        <w:rPr>
          <w:rFonts w:ascii="Arial" w:hAnsi="Arial" w:cs="Arial"/>
          <w:sz w:val="20"/>
          <w:szCs w:val="20"/>
          <w:vertAlign w:val="superscript"/>
          <w:lang w:val="id-ID"/>
        </w:rPr>
      </w:pPr>
      <w:r w:rsidRPr="007F16D4">
        <w:rPr>
          <w:rFonts w:ascii="Arial" w:hAnsi="Arial" w:cs="Arial"/>
          <w:sz w:val="20"/>
          <w:szCs w:val="20"/>
        </w:rPr>
        <w:t xml:space="preserve">Kecamatan Tanjung </w:t>
      </w:r>
      <w:r w:rsidRPr="007F16D4">
        <w:rPr>
          <w:rFonts w:ascii="Arial" w:hAnsi="Arial" w:cs="Arial"/>
          <w:sz w:val="20"/>
          <w:szCs w:val="20"/>
          <w:lang w:val="id-ID"/>
        </w:rPr>
        <w:t>merupakan</w:t>
      </w:r>
      <w:r w:rsidRPr="007F16D4">
        <w:rPr>
          <w:rFonts w:ascii="Arial" w:hAnsi="Arial" w:cs="Arial"/>
          <w:sz w:val="20"/>
          <w:szCs w:val="20"/>
        </w:rPr>
        <w:t xml:space="preserve"> salah satu daerah pantai di </w:t>
      </w:r>
      <w:r w:rsidRPr="007F16D4">
        <w:rPr>
          <w:rFonts w:ascii="Arial" w:hAnsi="Arial" w:cs="Arial"/>
          <w:sz w:val="20"/>
          <w:szCs w:val="20"/>
          <w:lang w:val="id-ID"/>
        </w:rPr>
        <w:t xml:space="preserve">Kabupaten Lombok Utara, Provinsi </w:t>
      </w:r>
      <w:r w:rsidRPr="007F16D4">
        <w:rPr>
          <w:rFonts w:ascii="Arial" w:hAnsi="Arial" w:cs="Arial"/>
          <w:sz w:val="20"/>
          <w:szCs w:val="20"/>
        </w:rPr>
        <w:t>NTB</w:t>
      </w:r>
      <w:r w:rsidRPr="007F16D4">
        <w:rPr>
          <w:rFonts w:ascii="Arial" w:hAnsi="Arial" w:cs="Arial"/>
          <w:sz w:val="20"/>
          <w:szCs w:val="20"/>
          <w:lang w:val="id-ID"/>
        </w:rPr>
        <w:t>.</w:t>
      </w:r>
      <w:r w:rsidRPr="007F16D4">
        <w:rPr>
          <w:rFonts w:ascii="Arial" w:hAnsi="Arial" w:cs="Arial"/>
          <w:sz w:val="20"/>
          <w:szCs w:val="20"/>
        </w:rPr>
        <w:t xml:space="preserve"> </w:t>
      </w:r>
      <w:r w:rsidRPr="007F16D4">
        <w:rPr>
          <w:rFonts w:ascii="Arial" w:hAnsi="Arial" w:cs="Arial"/>
          <w:sz w:val="20"/>
          <w:szCs w:val="20"/>
          <w:lang w:val="id-ID"/>
        </w:rPr>
        <w:t>D</w:t>
      </w:r>
      <w:r w:rsidRPr="007F16D4">
        <w:rPr>
          <w:rFonts w:ascii="Arial" w:hAnsi="Arial" w:cs="Arial"/>
          <w:sz w:val="20"/>
          <w:szCs w:val="20"/>
        </w:rPr>
        <w:t xml:space="preserve">aerah </w:t>
      </w:r>
      <w:r w:rsidRPr="007F16D4">
        <w:rPr>
          <w:rFonts w:ascii="Arial" w:hAnsi="Arial" w:cs="Arial"/>
          <w:sz w:val="20"/>
          <w:szCs w:val="20"/>
          <w:lang w:val="id-ID"/>
        </w:rPr>
        <w:t xml:space="preserve">tersebut termasuk daerah </w:t>
      </w:r>
      <w:r w:rsidRPr="007F16D4">
        <w:rPr>
          <w:rFonts w:ascii="Arial" w:hAnsi="Arial" w:cs="Arial"/>
          <w:sz w:val="20"/>
          <w:szCs w:val="20"/>
        </w:rPr>
        <w:t>endemik malaria yang dapat secara langsung menyebabkan anemia.</w:t>
      </w:r>
      <w:r w:rsidRPr="007F16D4">
        <w:rPr>
          <w:rFonts w:ascii="Arial" w:hAnsi="Arial" w:cs="Arial"/>
          <w:sz w:val="20"/>
          <w:szCs w:val="20"/>
          <w:lang w:val="id-ID"/>
        </w:rPr>
        <w:t xml:space="preserve"> P</w:t>
      </w:r>
      <w:r w:rsidRPr="007F16D4">
        <w:rPr>
          <w:rFonts w:ascii="Arial" w:hAnsi="Arial" w:cs="Arial"/>
          <w:sz w:val="20"/>
          <w:szCs w:val="20"/>
        </w:rPr>
        <w:t>ada tahun 2012 daerah</w:t>
      </w:r>
      <w:r w:rsidRPr="007F16D4">
        <w:rPr>
          <w:rFonts w:ascii="Arial" w:hAnsi="Arial" w:cs="Arial"/>
          <w:sz w:val="20"/>
          <w:szCs w:val="20"/>
          <w:lang w:val="id-ID"/>
        </w:rPr>
        <w:t xml:space="preserve"> ini </w:t>
      </w:r>
      <w:r w:rsidRPr="007F16D4">
        <w:rPr>
          <w:rFonts w:ascii="Arial" w:hAnsi="Arial" w:cs="Arial"/>
          <w:sz w:val="20"/>
          <w:szCs w:val="20"/>
        </w:rPr>
        <w:t xml:space="preserve"> </w:t>
      </w:r>
      <w:r w:rsidRPr="007F16D4">
        <w:rPr>
          <w:rFonts w:ascii="Arial" w:hAnsi="Arial" w:cs="Arial"/>
          <w:sz w:val="20"/>
          <w:szCs w:val="20"/>
          <w:lang w:val="id-ID"/>
        </w:rPr>
        <w:t>mengalami</w:t>
      </w:r>
      <w:r w:rsidRPr="007F16D4">
        <w:rPr>
          <w:rFonts w:ascii="Arial" w:hAnsi="Arial" w:cs="Arial"/>
          <w:sz w:val="20"/>
          <w:szCs w:val="20"/>
        </w:rPr>
        <w:t xml:space="preserve"> prevalensi gizi </w:t>
      </w:r>
      <w:r w:rsidRPr="007F16D4">
        <w:rPr>
          <w:rFonts w:ascii="Arial" w:hAnsi="Arial" w:cs="Arial"/>
          <w:sz w:val="20"/>
          <w:szCs w:val="20"/>
          <w:lang w:val="id-ID"/>
        </w:rPr>
        <w:t>buruk</w:t>
      </w:r>
      <w:r w:rsidRPr="007F16D4">
        <w:rPr>
          <w:rFonts w:ascii="Arial" w:hAnsi="Arial" w:cs="Arial"/>
          <w:sz w:val="20"/>
          <w:szCs w:val="20"/>
        </w:rPr>
        <w:t xml:space="preserve"> tertinggi di NTB. Sedangkan untuk data kejadian anemia pada anak SMP di wilayah Kecam</w:t>
      </w:r>
      <w:r w:rsidR="00C70966">
        <w:rPr>
          <w:rFonts w:ascii="Arial" w:hAnsi="Arial" w:cs="Arial"/>
          <w:sz w:val="20"/>
          <w:szCs w:val="20"/>
        </w:rPr>
        <w:t>atan Tanjung masih belum ada</w:t>
      </w:r>
      <w:r w:rsidRPr="007F16D4">
        <w:rPr>
          <w:rFonts w:ascii="Arial" w:hAnsi="Arial" w:cs="Arial"/>
          <w:sz w:val="20"/>
          <w:szCs w:val="20"/>
        </w:rPr>
        <w:t>.</w:t>
      </w:r>
      <w:r w:rsidR="00C70966">
        <w:rPr>
          <w:rFonts w:ascii="Arial" w:hAnsi="Arial" w:cs="Arial"/>
          <w:sz w:val="20"/>
          <w:szCs w:val="20"/>
          <w:vertAlign w:val="superscript"/>
          <w:lang w:val="id-ID"/>
        </w:rPr>
        <w:t>7</w:t>
      </w:r>
    </w:p>
    <w:p w:rsidR="007F16D4" w:rsidRPr="00C70966" w:rsidRDefault="007F16D4" w:rsidP="007F16D4">
      <w:pPr>
        <w:pStyle w:val="ListParagraph"/>
        <w:autoSpaceDE w:val="0"/>
        <w:autoSpaceDN w:val="0"/>
        <w:adjustRightInd w:val="0"/>
        <w:spacing w:after="0" w:line="360" w:lineRule="auto"/>
        <w:ind w:left="0" w:firstLine="360"/>
        <w:jc w:val="both"/>
        <w:rPr>
          <w:rFonts w:ascii="Arial" w:hAnsi="Arial" w:cs="Arial"/>
          <w:sz w:val="20"/>
          <w:szCs w:val="20"/>
          <w:vertAlign w:val="superscript"/>
          <w:lang w:val="id-ID"/>
        </w:rPr>
      </w:pPr>
      <w:r w:rsidRPr="007F16D4">
        <w:rPr>
          <w:rFonts w:ascii="Arial" w:hAnsi="Arial" w:cs="Arial"/>
          <w:sz w:val="20"/>
          <w:szCs w:val="20"/>
        </w:rPr>
        <w:t>Anemia bukan suatu kesatuan penyakit tersendiri</w:t>
      </w:r>
      <w:r w:rsidRPr="007F16D4">
        <w:rPr>
          <w:rFonts w:ascii="Arial" w:hAnsi="Arial" w:cs="Arial"/>
          <w:sz w:val="20"/>
          <w:szCs w:val="20"/>
          <w:lang w:val="id-ID"/>
        </w:rPr>
        <w:t>,</w:t>
      </w:r>
      <w:r w:rsidRPr="007F16D4">
        <w:rPr>
          <w:rFonts w:ascii="Arial" w:hAnsi="Arial" w:cs="Arial"/>
          <w:sz w:val="20"/>
          <w:szCs w:val="20"/>
        </w:rPr>
        <w:t xml:space="preserve"> </w:t>
      </w:r>
      <w:r w:rsidRPr="007F16D4">
        <w:rPr>
          <w:rFonts w:ascii="Arial" w:hAnsi="Arial" w:cs="Arial"/>
          <w:sz w:val="20"/>
          <w:szCs w:val="20"/>
          <w:lang w:val="id-ID"/>
        </w:rPr>
        <w:t>namun</w:t>
      </w:r>
      <w:r w:rsidRPr="007F16D4">
        <w:rPr>
          <w:rFonts w:ascii="Arial" w:hAnsi="Arial" w:cs="Arial"/>
          <w:sz w:val="20"/>
          <w:szCs w:val="20"/>
        </w:rPr>
        <w:t xml:space="preserve"> merupakan gejala</w:t>
      </w:r>
      <w:r w:rsidRPr="007F16D4">
        <w:rPr>
          <w:rFonts w:ascii="Arial" w:hAnsi="Arial" w:cs="Arial"/>
          <w:sz w:val="20"/>
          <w:szCs w:val="20"/>
          <w:lang w:val="id-ID"/>
        </w:rPr>
        <w:t xml:space="preserve"> dari</w:t>
      </w:r>
      <w:r w:rsidRPr="007F16D4">
        <w:rPr>
          <w:rFonts w:ascii="Arial" w:hAnsi="Arial" w:cs="Arial"/>
          <w:sz w:val="20"/>
          <w:szCs w:val="20"/>
        </w:rPr>
        <w:t xml:space="preserve"> berbagai macam penyakit dasar.</w:t>
      </w:r>
      <w:r w:rsidRPr="007F16D4">
        <w:rPr>
          <w:rFonts w:ascii="Arial" w:hAnsi="Arial" w:cs="Arial"/>
          <w:sz w:val="20"/>
          <w:szCs w:val="20"/>
          <w:lang w:val="id-ID"/>
        </w:rPr>
        <w:t xml:space="preserve"> </w:t>
      </w:r>
      <w:r w:rsidRPr="007F16D4">
        <w:rPr>
          <w:rFonts w:ascii="Arial" w:hAnsi="Arial" w:cs="Arial"/>
          <w:sz w:val="20"/>
          <w:szCs w:val="20"/>
        </w:rPr>
        <w:t xml:space="preserve">Petunjuk diagnosis penyebab </w:t>
      </w:r>
      <w:r w:rsidRPr="007F16D4">
        <w:rPr>
          <w:rFonts w:ascii="Arial" w:hAnsi="Arial" w:cs="Arial"/>
          <w:sz w:val="20"/>
          <w:szCs w:val="20"/>
          <w:lang w:val="id-ID"/>
        </w:rPr>
        <w:t xml:space="preserve">yang mendasari terjadinya </w:t>
      </w:r>
      <w:r w:rsidRPr="007F16D4">
        <w:rPr>
          <w:rFonts w:ascii="Arial" w:hAnsi="Arial" w:cs="Arial"/>
          <w:sz w:val="20"/>
          <w:szCs w:val="20"/>
        </w:rPr>
        <w:t>anemia bisa di</w:t>
      </w:r>
      <w:r w:rsidRPr="007F16D4">
        <w:rPr>
          <w:rFonts w:ascii="Arial" w:hAnsi="Arial" w:cs="Arial"/>
          <w:sz w:val="20"/>
          <w:szCs w:val="20"/>
          <w:lang w:val="id-ID"/>
        </w:rPr>
        <w:t>ketahui</w:t>
      </w:r>
      <w:r w:rsidRPr="007F16D4">
        <w:rPr>
          <w:rFonts w:ascii="Arial" w:hAnsi="Arial" w:cs="Arial"/>
          <w:sz w:val="20"/>
          <w:szCs w:val="20"/>
        </w:rPr>
        <w:t xml:space="preserve"> dengan menilai i</w:t>
      </w:r>
      <w:r w:rsidR="00C70966">
        <w:rPr>
          <w:rFonts w:ascii="Arial" w:hAnsi="Arial" w:cs="Arial"/>
          <w:sz w:val="20"/>
          <w:szCs w:val="20"/>
        </w:rPr>
        <w:t>ndeks eritrosit</w:t>
      </w:r>
      <w:r w:rsidRPr="007F16D4">
        <w:rPr>
          <w:rFonts w:ascii="Arial" w:hAnsi="Arial" w:cs="Arial"/>
          <w:sz w:val="20"/>
          <w:szCs w:val="20"/>
          <w:lang w:val="id-ID"/>
        </w:rPr>
        <w:t>.</w:t>
      </w:r>
      <w:r w:rsidR="00C70966">
        <w:rPr>
          <w:rFonts w:ascii="Arial" w:hAnsi="Arial" w:cs="Arial"/>
          <w:sz w:val="20"/>
          <w:szCs w:val="20"/>
          <w:vertAlign w:val="superscript"/>
          <w:lang w:val="id-ID"/>
        </w:rPr>
        <w:t>8</w:t>
      </w:r>
    </w:p>
    <w:p w:rsidR="007F16D4" w:rsidRPr="007F16D4" w:rsidRDefault="007F16D4" w:rsidP="007F16D4">
      <w:pPr>
        <w:spacing w:line="360" w:lineRule="auto"/>
        <w:jc w:val="both"/>
        <w:rPr>
          <w:rFonts w:ascii="Arial" w:hAnsi="Arial" w:cs="Arial"/>
          <w:b/>
          <w:sz w:val="20"/>
          <w:szCs w:val="20"/>
          <w:lang w:val="id-ID"/>
        </w:rPr>
      </w:pPr>
    </w:p>
    <w:p w:rsidR="007F16D4" w:rsidRPr="007F16D4" w:rsidRDefault="007F16D4" w:rsidP="007F16D4">
      <w:pPr>
        <w:spacing w:line="360" w:lineRule="auto"/>
        <w:jc w:val="both"/>
        <w:rPr>
          <w:rFonts w:ascii="Arial" w:hAnsi="Arial" w:cs="Arial"/>
          <w:b/>
          <w:sz w:val="20"/>
          <w:szCs w:val="20"/>
          <w:lang w:val="id-ID"/>
        </w:rPr>
      </w:pPr>
      <w:r w:rsidRPr="007F16D4">
        <w:rPr>
          <w:rFonts w:ascii="Arial" w:hAnsi="Arial" w:cs="Arial"/>
          <w:b/>
          <w:sz w:val="20"/>
          <w:szCs w:val="20"/>
        </w:rPr>
        <w:t>METODE PENELITIAN</w:t>
      </w:r>
    </w:p>
    <w:p w:rsidR="007F16D4" w:rsidRPr="007F16D4" w:rsidRDefault="007F16D4" w:rsidP="007F16D4">
      <w:pPr>
        <w:spacing w:line="360" w:lineRule="auto"/>
        <w:ind w:firstLine="360"/>
        <w:jc w:val="both"/>
        <w:rPr>
          <w:rFonts w:ascii="Arial" w:hAnsi="Arial" w:cs="Arial"/>
          <w:b/>
          <w:sz w:val="20"/>
          <w:szCs w:val="20"/>
          <w:lang w:val="id-ID"/>
        </w:rPr>
      </w:pPr>
      <w:r w:rsidRPr="007F16D4">
        <w:rPr>
          <w:rFonts w:ascii="Arial" w:hAnsi="Arial" w:cs="Arial"/>
          <w:sz w:val="20"/>
          <w:szCs w:val="20"/>
        </w:rPr>
        <w:t>Penelitian ini</w:t>
      </w:r>
      <w:r w:rsidRPr="007F16D4">
        <w:rPr>
          <w:rFonts w:ascii="Arial" w:hAnsi="Arial" w:cs="Arial"/>
          <w:sz w:val="20"/>
          <w:szCs w:val="20"/>
          <w:lang w:val="id-ID"/>
        </w:rPr>
        <w:t xml:space="preserve"> merupakan</w:t>
      </w:r>
      <w:r w:rsidRPr="007F16D4">
        <w:rPr>
          <w:rFonts w:ascii="Arial" w:hAnsi="Arial" w:cs="Arial"/>
          <w:sz w:val="20"/>
          <w:szCs w:val="20"/>
        </w:rPr>
        <w:t xml:space="preserve"> penelitian deskriptif dengan rancangan penelitian </w:t>
      </w:r>
      <w:r w:rsidRPr="007F16D4">
        <w:rPr>
          <w:rFonts w:ascii="Arial" w:hAnsi="Arial" w:cs="Arial"/>
          <w:i/>
          <w:sz w:val="20"/>
          <w:szCs w:val="20"/>
        </w:rPr>
        <w:t>cross-sectional</w:t>
      </w:r>
      <w:r w:rsidRPr="007F16D4">
        <w:rPr>
          <w:rFonts w:ascii="Arial" w:hAnsi="Arial" w:cs="Arial"/>
          <w:sz w:val="20"/>
          <w:szCs w:val="20"/>
        </w:rPr>
        <w:t>. Penelitian</w:t>
      </w:r>
      <w:r w:rsidRPr="007F16D4">
        <w:rPr>
          <w:rFonts w:ascii="Arial" w:hAnsi="Arial" w:cs="Arial"/>
          <w:sz w:val="20"/>
          <w:szCs w:val="20"/>
          <w:lang w:val="id-ID"/>
        </w:rPr>
        <w:t xml:space="preserve"> </w:t>
      </w:r>
      <w:r w:rsidRPr="007F16D4">
        <w:rPr>
          <w:rFonts w:ascii="Arial" w:hAnsi="Arial" w:cs="Arial"/>
          <w:sz w:val="20"/>
          <w:szCs w:val="20"/>
        </w:rPr>
        <w:t>dilaksanakan di SMP</w:t>
      </w:r>
      <w:r w:rsidRPr="007F16D4">
        <w:rPr>
          <w:rFonts w:ascii="Arial" w:hAnsi="Arial" w:cs="Arial"/>
          <w:sz w:val="20"/>
          <w:szCs w:val="20"/>
          <w:lang w:val="id-ID"/>
        </w:rPr>
        <w:t xml:space="preserve"> </w:t>
      </w:r>
      <w:r w:rsidRPr="007F16D4">
        <w:rPr>
          <w:rFonts w:ascii="Arial" w:hAnsi="Arial" w:cs="Arial"/>
          <w:sz w:val="20"/>
          <w:szCs w:val="20"/>
        </w:rPr>
        <w:t>N</w:t>
      </w:r>
      <w:r w:rsidRPr="007F16D4">
        <w:rPr>
          <w:rFonts w:ascii="Arial" w:hAnsi="Arial" w:cs="Arial"/>
          <w:sz w:val="20"/>
          <w:szCs w:val="20"/>
          <w:lang w:val="id-ID"/>
        </w:rPr>
        <w:t>egeri</w:t>
      </w:r>
      <w:r w:rsidRPr="007F16D4">
        <w:rPr>
          <w:rFonts w:ascii="Arial" w:hAnsi="Arial" w:cs="Arial"/>
          <w:sz w:val="20"/>
          <w:szCs w:val="20"/>
        </w:rPr>
        <w:t xml:space="preserve"> 2 Tanjung</w:t>
      </w:r>
      <w:r w:rsidRPr="007F16D4">
        <w:rPr>
          <w:rFonts w:ascii="Arial" w:hAnsi="Arial" w:cs="Arial"/>
          <w:sz w:val="20"/>
          <w:szCs w:val="20"/>
          <w:lang w:val="id-ID"/>
        </w:rPr>
        <w:t xml:space="preserve">, </w:t>
      </w:r>
      <w:r w:rsidRPr="007F16D4">
        <w:rPr>
          <w:rFonts w:ascii="Arial" w:hAnsi="Arial" w:cs="Arial"/>
          <w:sz w:val="20"/>
          <w:szCs w:val="20"/>
        </w:rPr>
        <w:t xml:space="preserve">dilakukan </w:t>
      </w:r>
      <w:r w:rsidRPr="007F16D4">
        <w:rPr>
          <w:rFonts w:ascii="Arial" w:hAnsi="Arial" w:cs="Arial"/>
          <w:sz w:val="20"/>
          <w:szCs w:val="20"/>
          <w:lang w:val="id-ID"/>
        </w:rPr>
        <w:t>pada</w:t>
      </w:r>
      <w:r w:rsidRPr="007F16D4">
        <w:rPr>
          <w:rFonts w:ascii="Arial" w:hAnsi="Arial" w:cs="Arial"/>
          <w:sz w:val="20"/>
          <w:szCs w:val="20"/>
        </w:rPr>
        <w:t xml:space="preserve"> awal Februari </w:t>
      </w:r>
      <w:r w:rsidRPr="007F16D4">
        <w:rPr>
          <w:rFonts w:ascii="Arial" w:hAnsi="Arial" w:cs="Arial"/>
          <w:sz w:val="20"/>
          <w:szCs w:val="20"/>
          <w:lang w:val="id-ID"/>
        </w:rPr>
        <w:t xml:space="preserve">2013. </w:t>
      </w:r>
    </w:p>
    <w:p w:rsidR="007F16D4" w:rsidRPr="007F16D4" w:rsidRDefault="007F16D4" w:rsidP="007F16D4">
      <w:pPr>
        <w:spacing w:line="360" w:lineRule="auto"/>
        <w:ind w:firstLine="360"/>
        <w:jc w:val="both"/>
        <w:rPr>
          <w:rFonts w:ascii="Arial" w:hAnsi="Arial" w:cs="Arial"/>
          <w:sz w:val="20"/>
          <w:szCs w:val="20"/>
          <w:lang w:val="id-ID"/>
        </w:rPr>
      </w:pPr>
      <w:r w:rsidRPr="007F16D4">
        <w:rPr>
          <w:rFonts w:ascii="Arial" w:hAnsi="Arial" w:cs="Arial"/>
          <w:sz w:val="20"/>
          <w:szCs w:val="20"/>
          <w:lang w:val="id-ID"/>
        </w:rPr>
        <w:t xml:space="preserve">Populasi target dalam penelitian ini adalah semua siswa SMP di daerah pantai </w:t>
      </w:r>
      <w:r w:rsidRPr="007F16D4">
        <w:rPr>
          <w:rFonts w:ascii="Arial" w:hAnsi="Arial" w:cs="Arial"/>
          <w:sz w:val="20"/>
          <w:szCs w:val="20"/>
        </w:rPr>
        <w:t>Kecamatan Tanjung</w:t>
      </w:r>
      <w:r w:rsidRPr="007F16D4">
        <w:rPr>
          <w:rFonts w:ascii="Arial" w:hAnsi="Arial" w:cs="Arial"/>
          <w:sz w:val="20"/>
          <w:szCs w:val="20"/>
          <w:lang w:val="id-ID"/>
        </w:rPr>
        <w:t>.</w:t>
      </w:r>
      <w:r w:rsidRPr="007F16D4">
        <w:rPr>
          <w:rFonts w:ascii="Arial" w:hAnsi="Arial" w:cs="Arial"/>
          <w:sz w:val="20"/>
          <w:szCs w:val="20"/>
        </w:rPr>
        <w:t xml:space="preserve"> </w:t>
      </w:r>
      <w:r w:rsidRPr="007F16D4">
        <w:rPr>
          <w:rFonts w:ascii="Arial" w:hAnsi="Arial" w:cs="Arial"/>
          <w:sz w:val="20"/>
          <w:szCs w:val="20"/>
          <w:lang w:val="id-ID"/>
        </w:rPr>
        <w:t>Peneliti menggunakan SMP Negeri 2 Tanjung sebagai populasi terjangkau karena lokasinya paling dekat dengan pantai dan mudah dihubungi. Secara terperinci seluruh populasi penelitian disajikan dalam tabel 1. berikut:</w:t>
      </w:r>
    </w:p>
    <w:p w:rsidR="007F16D4" w:rsidRPr="00380862" w:rsidRDefault="007F16D4" w:rsidP="00380862">
      <w:pPr>
        <w:pStyle w:val="1tabel"/>
        <w:jc w:val="center"/>
        <w:rPr>
          <w:rFonts w:ascii="Arial" w:hAnsi="Arial" w:cs="Arial"/>
          <w:sz w:val="20"/>
          <w:szCs w:val="20"/>
          <w:lang w:val="id-ID"/>
        </w:rPr>
      </w:pPr>
      <w:bookmarkStart w:id="0" w:name="_Toc380507119"/>
      <w:r w:rsidRPr="00380862">
        <w:rPr>
          <w:rFonts w:ascii="Arial" w:hAnsi="Arial" w:cs="Arial"/>
          <w:sz w:val="20"/>
          <w:szCs w:val="20"/>
          <w:lang w:val="id-ID"/>
        </w:rPr>
        <w:lastRenderedPageBreak/>
        <w:t>Tabel 1. Populasi Penelitian SMP Negeri 2 Tanjung</w:t>
      </w:r>
      <w:bookmarkEnd w:id="0"/>
    </w:p>
    <w:tbl>
      <w:tblPr>
        <w:tblW w:w="3544" w:type="dxa"/>
        <w:tblBorders>
          <w:top w:val="single" w:sz="18" w:space="0" w:color="auto"/>
          <w:bottom w:val="single" w:sz="18" w:space="0" w:color="auto"/>
        </w:tblBorders>
        <w:tblLayout w:type="fixed"/>
        <w:tblCellMar>
          <w:left w:w="30" w:type="dxa"/>
          <w:right w:w="30" w:type="dxa"/>
        </w:tblCellMar>
        <w:tblLook w:val="0000"/>
      </w:tblPr>
      <w:tblGrid>
        <w:gridCol w:w="1055"/>
        <w:gridCol w:w="474"/>
        <w:gridCol w:w="881"/>
        <w:gridCol w:w="512"/>
        <w:gridCol w:w="622"/>
      </w:tblGrid>
      <w:tr w:rsidR="007F16D4" w:rsidRPr="00380862" w:rsidTr="00380862">
        <w:trPr>
          <w:cantSplit/>
          <w:tblHeader/>
        </w:trPr>
        <w:tc>
          <w:tcPr>
            <w:tcW w:w="1055" w:type="dxa"/>
            <w:vMerge w:val="restart"/>
            <w:tcBorders>
              <w:top w:val="single" w:sz="18" w:space="0" w:color="auto"/>
              <w:bottom w:val="single" w:sz="8" w:space="0" w:color="auto"/>
            </w:tcBorders>
            <w:vAlign w:val="center"/>
          </w:tcPr>
          <w:p w:rsidR="007F16D4" w:rsidRPr="00380862" w:rsidRDefault="007F16D4" w:rsidP="00380862">
            <w:pPr>
              <w:autoSpaceDE w:val="0"/>
              <w:autoSpaceDN w:val="0"/>
              <w:adjustRightInd w:val="0"/>
              <w:contextualSpacing/>
              <w:jc w:val="center"/>
              <w:rPr>
                <w:rFonts w:ascii="Arial" w:hAnsi="Arial" w:cs="Arial"/>
                <w:b/>
                <w:sz w:val="18"/>
                <w:szCs w:val="18"/>
              </w:rPr>
            </w:pPr>
            <w:r w:rsidRPr="00380862">
              <w:rPr>
                <w:rFonts w:ascii="Arial" w:hAnsi="Arial" w:cs="Arial"/>
                <w:b/>
                <w:color w:val="000000"/>
                <w:sz w:val="18"/>
                <w:szCs w:val="18"/>
              </w:rPr>
              <w:t>Jenis Kelamin</w:t>
            </w:r>
          </w:p>
        </w:tc>
        <w:tc>
          <w:tcPr>
            <w:tcW w:w="1867" w:type="dxa"/>
            <w:gridSpan w:val="3"/>
            <w:tcBorders>
              <w:top w:val="single" w:sz="18" w:space="0" w:color="auto"/>
              <w:bottom w:val="single" w:sz="8" w:space="0" w:color="auto"/>
            </w:tcBorders>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b/>
                <w:color w:val="000000"/>
                <w:sz w:val="18"/>
                <w:szCs w:val="18"/>
              </w:rPr>
            </w:pPr>
            <w:r w:rsidRPr="00380862">
              <w:rPr>
                <w:rFonts w:ascii="Arial" w:hAnsi="Arial" w:cs="Arial"/>
                <w:b/>
                <w:color w:val="000000"/>
                <w:sz w:val="18"/>
                <w:szCs w:val="18"/>
              </w:rPr>
              <w:t>Kelas</w:t>
            </w:r>
          </w:p>
        </w:tc>
        <w:tc>
          <w:tcPr>
            <w:tcW w:w="622" w:type="dxa"/>
            <w:vMerge w:val="restart"/>
            <w:tcBorders>
              <w:top w:val="single" w:sz="18" w:space="0" w:color="auto"/>
              <w:bottom w:val="single" w:sz="8" w:space="0" w:color="auto"/>
            </w:tcBorders>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b/>
                <w:color w:val="000000"/>
                <w:sz w:val="18"/>
                <w:szCs w:val="18"/>
              </w:rPr>
            </w:pPr>
            <w:r w:rsidRPr="00380862">
              <w:rPr>
                <w:rFonts w:ascii="Arial" w:hAnsi="Arial" w:cs="Arial"/>
                <w:b/>
                <w:color w:val="000000"/>
                <w:sz w:val="18"/>
                <w:szCs w:val="18"/>
              </w:rPr>
              <w:t>Total</w:t>
            </w:r>
          </w:p>
        </w:tc>
      </w:tr>
      <w:tr w:rsidR="007F16D4" w:rsidRPr="00380862" w:rsidTr="00380862">
        <w:trPr>
          <w:cantSplit/>
          <w:tblHeader/>
        </w:trPr>
        <w:tc>
          <w:tcPr>
            <w:tcW w:w="1055" w:type="dxa"/>
            <w:vMerge/>
            <w:tcBorders>
              <w:top w:val="single" w:sz="8" w:space="0" w:color="auto"/>
            </w:tcBorders>
            <w:shd w:val="clear" w:color="auto" w:fill="FFFFFF"/>
            <w:tcMar>
              <w:top w:w="30" w:type="dxa"/>
              <w:left w:w="30" w:type="dxa"/>
              <w:bottom w:w="30" w:type="dxa"/>
              <w:right w:w="30" w:type="dxa"/>
            </w:tcMar>
          </w:tcPr>
          <w:p w:rsidR="007F16D4" w:rsidRPr="00380862" w:rsidRDefault="007F16D4" w:rsidP="00380862">
            <w:pPr>
              <w:autoSpaceDE w:val="0"/>
              <w:autoSpaceDN w:val="0"/>
              <w:adjustRightInd w:val="0"/>
              <w:contextualSpacing/>
              <w:jc w:val="center"/>
              <w:rPr>
                <w:rFonts w:ascii="Arial" w:hAnsi="Arial" w:cs="Arial"/>
                <w:sz w:val="18"/>
                <w:szCs w:val="18"/>
              </w:rPr>
            </w:pPr>
          </w:p>
        </w:tc>
        <w:tc>
          <w:tcPr>
            <w:tcW w:w="474" w:type="dxa"/>
            <w:tcBorders>
              <w:top w:val="single" w:sz="8" w:space="0" w:color="auto"/>
            </w:tcBorders>
            <w:shd w:val="clear" w:color="auto" w:fill="FFFFFF"/>
            <w:tcMar>
              <w:top w:w="30" w:type="dxa"/>
              <w:left w:w="30" w:type="dxa"/>
              <w:bottom w:w="30" w:type="dxa"/>
              <w:right w:w="30" w:type="dxa"/>
            </w:tcMar>
            <w:vAlign w:val="bottom"/>
          </w:tcPr>
          <w:p w:rsidR="007F16D4" w:rsidRPr="00380862" w:rsidRDefault="007F16D4" w:rsidP="00380862">
            <w:pPr>
              <w:autoSpaceDE w:val="0"/>
              <w:autoSpaceDN w:val="0"/>
              <w:adjustRightInd w:val="0"/>
              <w:contextualSpacing/>
              <w:jc w:val="center"/>
              <w:rPr>
                <w:rFonts w:ascii="Arial" w:hAnsi="Arial" w:cs="Arial"/>
                <w:color w:val="000000"/>
                <w:sz w:val="18"/>
                <w:szCs w:val="18"/>
                <w:lang w:val="id-ID"/>
              </w:rPr>
            </w:pPr>
            <w:r w:rsidRPr="00380862">
              <w:rPr>
                <w:rFonts w:ascii="Arial" w:hAnsi="Arial" w:cs="Arial"/>
                <w:color w:val="000000"/>
                <w:sz w:val="18"/>
                <w:szCs w:val="18"/>
                <w:lang w:val="id-ID"/>
              </w:rPr>
              <w:t>VII</w:t>
            </w:r>
          </w:p>
        </w:tc>
        <w:tc>
          <w:tcPr>
            <w:tcW w:w="881" w:type="dxa"/>
            <w:tcBorders>
              <w:top w:val="single" w:sz="8" w:space="0" w:color="auto"/>
            </w:tcBorders>
            <w:shd w:val="clear" w:color="auto" w:fill="FFFFFF"/>
            <w:tcMar>
              <w:top w:w="30" w:type="dxa"/>
              <w:left w:w="30" w:type="dxa"/>
              <w:bottom w:w="30" w:type="dxa"/>
              <w:right w:w="30" w:type="dxa"/>
            </w:tcMar>
            <w:vAlign w:val="bottom"/>
          </w:tcPr>
          <w:p w:rsidR="007F16D4" w:rsidRPr="00380862" w:rsidRDefault="007F16D4" w:rsidP="00380862">
            <w:pPr>
              <w:autoSpaceDE w:val="0"/>
              <w:autoSpaceDN w:val="0"/>
              <w:adjustRightInd w:val="0"/>
              <w:contextualSpacing/>
              <w:jc w:val="center"/>
              <w:rPr>
                <w:rFonts w:ascii="Arial" w:hAnsi="Arial" w:cs="Arial"/>
                <w:color w:val="000000"/>
                <w:sz w:val="18"/>
                <w:szCs w:val="18"/>
                <w:lang w:val="id-ID"/>
              </w:rPr>
            </w:pPr>
            <w:r w:rsidRPr="00380862">
              <w:rPr>
                <w:rFonts w:ascii="Arial" w:hAnsi="Arial" w:cs="Arial"/>
                <w:color w:val="000000"/>
                <w:sz w:val="18"/>
                <w:szCs w:val="18"/>
                <w:lang w:val="id-ID"/>
              </w:rPr>
              <w:t>VIII</w:t>
            </w:r>
          </w:p>
        </w:tc>
        <w:tc>
          <w:tcPr>
            <w:tcW w:w="512" w:type="dxa"/>
            <w:tcBorders>
              <w:top w:val="single" w:sz="8" w:space="0" w:color="auto"/>
            </w:tcBorders>
            <w:shd w:val="clear" w:color="auto" w:fill="FFFFFF"/>
            <w:tcMar>
              <w:top w:w="30" w:type="dxa"/>
              <w:left w:w="30" w:type="dxa"/>
              <w:bottom w:w="30" w:type="dxa"/>
              <w:right w:w="30" w:type="dxa"/>
            </w:tcMar>
            <w:vAlign w:val="bottom"/>
          </w:tcPr>
          <w:p w:rsidR="007F16D4" w:rsidRPr="00380862" w:rsidRDefault="007F16D4" w:rsidP="00380862">
            <w:pPr>
              <w:autoSpaceDE w:val="0"/>
              <w:autoSpaceDN w:val="0"/>
              <w:adjustRightInd w:val="0"/>
              <w:ind w:left="71" w:hanging="71"/>
              <w:contextualSpacing/>
              <w:jc w:val="center"/>
              <w:rPr>
                <w:rFonts w:ascii="Arial" w:hAnsi="Arial" w:cs="Arial"/>
                <w:color w:val="000000"/>
                <w:sz w:val="18"/>
                <w:szCs w:val="18"/>
                <w:lang w:val="id-ID"/>
              </w:rPr>
            </w:pPr>
            <w:r w:rsidRPr="00380862">
              <w:rPr>
                <w:rFonts w:ascii="Arial" w:hAnsi="Arial" w:cs="Arial"/>
                <w:color w:val="000000"/>
                <w:sz w:val="18"/>
                <w:szCs w:val="18"/>
                <w:lang w:val="id-ID"/>
              </w:rPr>
              <w:t>IX</w:t>
            </w:r>
          </w:p>
        </w:tc>
        <w:tc>
          <w:tcPr>
            <w:tcW w:w="622" w:type="dxa"/>
            <w:vMerge/>
            <w:tcBorders>
              <w:top w:val="single" w:sz="8" w:space="0" w:color="auto"/>
            </w:tcBorders>
            <w:shd w:val="clear" w:color="auto" w:fill="FFFFFF"/>
            <w:tcMar>
              <w:top w:w="30" w:type="dxa"/>
              <w:left w:w="30" w:type="dxa"/>
              <w:bottom w:w="30" w:type="dxa"/>
              <w:right w:w="30" w:type="dxa"/>
            </w:tcMar>
            <w:vAlign w:val="bottom"/>
          </w:tcPr>
          <w:p w:rsidR="007F16D4" w:rsidRPr="00380862" w:rsidRDefault="007F16D4" w:rsidP="00380862">
            <w:pPr>
              <w:autoSpaceDE w:val="0"/>
              <w:autoSpaceDN w:val="0"/>
              <w:adjustRightInd w:val="0"/>
              <w:contextualSpacing/>
              <w:jc w:val="center"/>
              <w:rPr>
                <w:rFonts w:ascii="Arial" w:hAnsi="Arial" w:cs="Arial"/>
                <w:color w:val="000000"/>
                <w:sz w:val="18"/>
                <w:szCs w:val="18"/>
              </w:rPr>
            </w:pPr>
          </w:p>
        </w:tc>
      </w:tr>
      <w:tr w:rsidR="007F16D4" w:rsidRPr="00380862" w:rsidTr="00380862">
        <w:trPr>
          <w:cantSplit/>
          <w:tblHeader/>
        </w:trPr>
        <w:tc>
          <w:tcPr>
            <w:tcW w:w="1055" w:type="dxa"/>
            <w:shd w:val="clear" w:color="auto" w:fill="FFFFFF"/>
            <w:tcMar>
              <w:top w:w="30" w:type="dxa"/>
              <w:left w:w="30" w:type="dxa"/>
              <w:bottom w:w="30" w:type="dxa"/>
              <w:right w:w="30" w:type="dxa"/>
            </w:tcMa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Laki-laki</w:t>
            </w:r>
          </w:p>
        </w:tc>
        <w:tc>
          <w:tcPr>
            <w:tcW w:w="474"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67</w:t>
            </w:r>
          </w:p>
        </w:tc>
        <w:tc>
          <w:tcPr>
            <w:tcW w:w="881"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57</w:t>
            </w:r>
          </w:p>
        </w:tc>
        <w:tc>
          <w:tcPr>
            <w:tcW w:w="512"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56</w:t>
            </w:r>
          </w:p>
        </w:tc>
        <w:tc>
          <w:tcPr>
            <w:tcW w:w="622"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180</w:t>
            </w:r>
          </w:p>
        </w:tc>
      </w:tr>
      <w:tr w:rsidR="007F16D4" w:rsidRPr="00380862" w:rsidTr="00380862">
        <w:trPr>
          <w:cantSplit/>
          <w:tblHeader/>
        </w:trPr>
        <w:tc>
          <w:tcPr>
            <w:tcW w:w="1055" w:type="dxa"/>
            <w:shd w:val="clear" w:color="auto" w:fill="FFFFFF"/>
            <w:tcMar>
              <w:top w:w="30" w:type="dxa"/>
              <w:left w:w="30" w:type="dxa"/>
              <w:bottom w:w="30" w:type="dxa"/>
              <w:right w:w="30" w:type="dxa"/>
            </w:tcMa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Perempuan</w:t>
            </w:r>
          </w:p>
        </w:tc>
        <w:tc>
          <w:tcPr>
            <w:tcW w:w="474"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62</w:t>
            </w:r>
          </w:p>
        </w:tc>
        <w:tc>
          <w:tcPr>
            <w:tcW w:w="881"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42</w:t>
            </w:r>
          </w:p>
        </w:tc>
        <w:tc>
          <w:tcPr>
            <w:tcW w:w="512"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70</w:t>
            </w:r>
          </w:p>
        </w:tc>
        <w:tc>
          <w:tcPr>
            <w:tcW w:w="622"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174</w:t>
            </w:r>
          </w:p>
        </w:tc>
      </w:tr>
      <w:tr w:rsidR="007F16D4" w:rsidRPr="00380862" w:rsidTr="00380862">
        <w:trPr>
          <w:cantSplit/>
        </w:trPr>
        <w:tc>
          <w:tcPr>
            <w:tcW w:w="1055" w:type="dxa"/>
            <w:shd w:val="clear" w:color="auto" w:fill="FFFFFF"/>
            <w:tcMar>
              <w:top w:w="30" w:type="dxa"/>
              <w:left w:w="30" w:type="dxa"/>
              <w:bottom w:w="30" w:type="dxa"/>
              <w:right w:w="30" w:type="dxa"/>
            </w:tcMa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Total</w:t>
            </w:r>
          </w:p>
        </w:tc>
        <w:tc>
          <w:tcPr>
            <w:tcW w:w="474"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129</w:t>
            </w:r>
          </w:p>
        </w:tc>
        <w:tc>
          <w:tcPr>
            <w:tcW w:w="881"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99</w:t>
            </w:r>
          </w:p>
        </w:tc>
        <w:tc>
          <w:tcPr>
            <w:tcW w:w="512"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126</w:t>
            </w:r>
          </w:p>
        </w:tc>
        <w:tc>
          <w:tcPr>
            <w:tcW w:w="622" w:type="dxa"/>
            <w:shd w:val="clear" w:color="auto" w:fill="FFFFFF"/>
            <w:tcMar>
              <w:top w:w="30" w:type="dxa"/>
              <w:left w:w="30" w:type="dxa"/>
              <w:bottom w:w="30" w:type="dxa"/>
              <w:right w:w="30" w:type="dxa"/>
            </w:tcMar>
            <w:vAlign w:val="center"/>
          </w:tcPr>
          <w:p w:rsidR="007F16D4" w:rsidRPr="00380862" w:rsidRDefault="007F16D4" w:rsidP="00380862">
            <w:pPr>
              <w:autoSpaceDE w:val="0"/>
              <w:autoSpaceDN w:val="0"/>
              <w:adjustRightInd w:val="0"/>
              <w:contextualSpacing/>
              <w:jc w:val="center"/>
              <w:rPr>
                <w:rFonts w:ascii="Arial" w:hAnsi="Arial" w:cs="Arial"/>
                <w:color w:val="000000"/>
                <w:sz w:val="18"/>
                <w:szCs w:val="18"/>
              </w:rPr>
            </w:pPr>
            <w:r w:rsidRPr="00380862">
              <w:rPr>
                <w:rFonts w:ascii="Arial" w:hAnsi="Arial" w:cs="Arial"/>
                <w:color w:val="000000"/>
                <w:sz w:val="18"/>
                <w:szCs w:val="18"/>
              </w:rPr>
              <w:t>354</w:t>
            </w:r>
          </w:p>
        </w:tc>
      </w:tr>
    </w:tbl>
    <w:p w:rsidR="007F16D4" w:rsidRPr="00380862" w:rsidRDefault="007F16D4" w:rsidP="00380862">
      <w:pPr>
        <w:rPr>
          <w:rFonts w:ascii="Arial" w:hAnsi="Arial" w:cs="Arial"/>
          <w:sz w:val="20"/>
          <w:szCs w:val="20"/>
          <w:lang w:val="id-ID"/>
        </w:rPr>
      </w:pPr>
      <w:r w:rsidRPr="00380862">
        <w:rPr>
          <w:rFonts w:ascii="Arial" w:hAnsi="Arial" w:cs="Arial"/>
          <w:sz w:val="20"/>
          <w:szCs w:val="20"/>
          <w:lang w:val="id-ID"/>
        </w:rPr>
        <w:t>(Sumber: SMP Negeri 2 Tanjung tahun pelajaran 2012/2013)</w:t>
      </w:r>
    </w:p>
    <w:p w:rsidR="00380862" w:rsidRDefault="00380862" w:rsidP="00380862">
      <w:pPr>
        <w:spacing w:line="360" w:lineRule="auto"/>
        <w:ind w:firstLine="426"/>
        <w:jc w:val="both"/>
        <w:rPr>
          <w:lang w:val="id-ID"/>
        </w:rPr>
      </w:pPr>
    </w:p>
    <w:p w:rsidR="00380862" w:rsidRPr="00380862" w:rsidRDefault="00380862" w:rsidP="00380862">
      <w:pPr>
        <w:spacing w:line="360" w:lineRule="auto"/>
        <w:ind w:firstLine="426"/>
        <w:jc w:val="both"/>
        <w:rPr>
          <w:rFonts w:ascii="Arial" w:hAnsi="Arial" w:cs="Arial"/>
          <w:sz w:val="20"/>
          <w:szCs w:val="20"/>
          <w:lang w:val="id-ID"/>
        </w:rPr>
      </w:pPr>
      <w:r w:rsidRPr="00380862">
        <w:rPr>
          <w:rFonts w:ascii="Arial" w:hAnsi="Arial" w:cs="Arial"/>
          <w:sz w:val="20"/>
          <w:szCs w:val="20"/>
          <w:lang w:val="id-ID"/>
        </w:rPr>
        <w:t xml:space="preserve">Teknik pengambilan sampel menggunakan teknik </w:t>
      </w:r>
      <w:r w:rsidRPr="00380862">
        <w:rPr>
          <w:rFonts w:ascii="Arial" w:hAnsi="Arial" w:cs="Arial"/>
          <w:i/>
          <w:sz w:val="20"/>
          <w:szCs w:val="20"/>
          <w:lang w:val="id-ID"/>
        </w:rPr>
        <w:t>total sampling</w:t>
      </w:r>
      <w:r w:rsidRPr="00380862">
        <w:rPr>
          <w:rFonts w:ascii="Arial" w:hAnsi="Arial" w:cs="Arial"/>
          <w:sz w:val="20"/>
          <w:szCs w:val="20"/>
          <w:lang w:val="id-ID"/>
        </w:rPr>
        <w:t>, maka peneliti mengambil sampel dari seluruh siswa SMP Negeri 2 Tanjung tahun ajaran 2012/2013 yang</w:t>
      </w:r>
      <w:r w:rsidRPr="00380862">
        <w:rPr>
          <w:rFonts w:ascii="Arial" w:hAnsi="Arial" w:cs="Arial"/>
          <w:sz w:val="20"/>
          <w:szCs w:val="20"/>
        </w:rPr>
        <w:t xml:space="preserve"> memenuhi kriteria inklusi dan eksklusi</w:t>
      </w:r>
      <w:r w:rsidRPr="00380862">
        <w:rPr>
          <w:rFonts w:ascii="Arial" w:hAnsi="Arial" w:cs="Arial"/>
          <w:sz w:val="20"/>
          <w:szCs w:val="20"/>
          <w:lang w:val="id-ID"/>
        </w:rPr>
        <w:t>.</w:t>
      </w:r>
    </w:p>
    <w:p w:rsidR="00380862" w:rsidRPr="00C738C3" w:rsidRDefault="00380862" w:rsidP="00380862">
      <w:pPr>
        <w:spacing w:line="360" w:lineRule="auto"/>
        <w:ind w:firstLine="426"/>
        <w:jc w:val="both"/>
        <w:rPr>
          <w:rFonts w:ascii="Arial" w:hAnsi="Arial" w:cs="Arial"/>
          <w:sz w:val="20"/>
          <w:szCs w:val="20"/>
          <w:lang w:val="id-ID"/>
        </w:rPr>
      </w:pPr>
      <w:r w:rsidRPr="00C738C3">
        <w:rPr>
          <w:rFonts w:ascii="Arial" w:hAnsi="Arial" w:cs="Arial"/>
          <w:sz w:val="20"/>
          <w:szCs w:val="20"/>
        </w:rPr>
        <w:t>Variabel yang diteliti pada penelitian ini adalah profil anemia berdasarkan indeks eritrosit.</w:t>
      </w:r>
    </w:p>
    <w:p w:rsidR="007B11D7" w:rsidRPr="00C738C3" w:rsidRDefault="007B11D7" w:rsidP="007B11D7">
      <w:pPr>
        <w:spacing w:line="360" w:lineRule="auto"/>
        <w:jc w:val="both"/>
        <w:rPr>
          <w:rFonts w:ascii="Arial" w:hAnsi="Arial" w:cs="Arial"/>
          <w:sz w:val="20"/>
          <w:szCs w:val="20"/>
          <w:lang w:val="id-ID"/>
        </w:rPr>
      </w:pPr>
      <w:r w:rsidRPr="00C738C3">
        <w:rPr>
          <w:rFonts w:ascii="Arial" w:hAnsi="Arial" w:cs="Arial"/>
          <w:sz w:val="20"/>
          <w:szCs w:val="20"/>
          <w:lang w:val="id-ID"/>
        </w:rPr>
        <w:t>Definisi Oprasional Variabel:</w:t>
      </w:r>
    </w:p>
    <w:p w:rsidR="007B11D7" w:rsidRPr="00C738C3" w:rsidRDefault="007B11D7" w:rsidP="007B11D7">
      <w:pPr>
        <w:pStyle w:val="ListParagraph"/>
        <w:numPr>
          <w:ilvl w:val="0"/>
          <w:numId w:val="33"/>
        </w:numPr>
        <w:spacing w:line="360" w:lineRule="auto"/>
        <w:ind w:left="284" w:hanging="284"/>
        <w:jc w:val="both"/>
        <w:rPr>
          <w:rFonts w:ascii="Arial" w:hAnsi="Arial" w:cs="Arial"/>
          <w:sz w:val="20"/>
          <w:szCs w:val="20"/>
          <w:lang w:val="id-ID"/>
        </w:rPr>
      </w:pPr>
      <w:r w:rsidRPr="00C738C3">
        <w:rPr>
          <w:rFonts w:ascii="Arial" w:hAnsi="Arial" w:cs="Arial"/>
          <w:sz w:val="20"/>
          <w:szCs w:val="20"/>
          <w:lang w:val="id-ID"/>
        </w:rPr>
        <w:t>Anemia:</w:t>
      </w:r>
      <w:r w:rsidRPr="00C738C3">
        <w:rPr>
          <w:rFonts w:ascii="Arial" w:hAnsi="Arial" w:cs="Arial"/>
          <w:color w:val="000000"/>
          <w:sz w:val="20"/>
          <w:szCs w:val="20"/>
          <w:lang w:val="id-ID"/>
        </w:rPr>
        <w:t xml:space="preserve"> </w:t>
      </w:r>
      <w:r w:rsidR="00C738C3">
        <w:rPr>
          <w:rFonts w:ascii="Arial" w:hAnsi="Arial" w:cs="Arial"/>
          <w:color w:val="000000"/>
          <w:sz w:val="20"/>
          <w:szCs w:val="20"/>
          <w:lang w:val="id-ID"/>
        </w:rPr>
        <w:t>K</w:t>
      </w:r>
      <w:r w:rsidRPr="00C738C3">
        <w:rPr>
          <w:rFonts w:ascii="Arial" w:hAnsi="Arial" w:cs="Arial"/>
          <w:color w:val="000000"/>
          <w:sz w:val="20"/>
          <w:szCs w:val="20"/>
          <w:lang w:val="id-ID"/>
        </w:rPr>
        <w:t>adar Hb rendah,  yang dinilai dari membandingkan kadar H</w:t>
      </w:r>
      <w:r w:rsidRPr="00C738C3">
        <w:rPr>
          <w:rFonts w:ascii="Arial" w:hAnsi="Arial" w:cs="Arial"/>
          <w:color w:val="000000"/>
          <w:sz w:val="20"/>
          <w:szCs w:val="20"/>
        </w:rPr>
        <w:t>b</w:t>
      </w:r>
      <w:r w:rsidRPr="00C738C3">
        <w:rPr>
          <w:rFonts w:ascii="Arial" w:hAnsi="Arial" w:cs="Arial"/>
          <w:color w:val="000000"/>
          <w:sz w:val="20"/>
          <w:szCs w:val="20"/>
          <w:lang w:val="id-ID"/>
        </w:rPr>
        <w:t xml:space="preserve"> responden dengan nilai rata-rata HB populasi  -1SD</w:t>
      </w:r>
      <w:r w:rsidR="00C70966">
        <w:rPr>
          <w:rFonts w:ascii="Arial" w:hAnsi="Arial" w:cs="Arial"/>
          <w:color w:val="000000"/>
          <w:sz w:val="20"/>
          <w:szCs w:val="20"/>
          <w:lang w:val="id-ID"/>
        </w:rPr>
        <w:t>.</w:t>
      </w:r>
      <w:r w:rsidR="00C70966">
        <w:rPr>
          <w:rFonts w:ascii="Arial" w:hAnsi="Arial" w:cs="Arial"/>
          <w:color w:val="000000"/>
          <w:sz w:val="20"/>
          <w:szCs w:val="20"/>
          <w:vertAlign w:val="superscript"/>
          <w:lang w:val="id-ID"/>
        </w:rPr>
        <w:t>9</w:t>
      </w:r>
    </w:p>
    <w:p w:rsidR="007B11D7" w:rsidRPr="00C738C3" w:rsidRDefault="007B11D7" w:rsidP="007B11D7">
      <w:pPr>
        <w:pStyle w:val="ListParagraph"/>
        <w:numPr>
          <w:ilvl w:val="0"/>
          <w:numId w:val="33"/>
        </w:numPr>
        <w:spacing w:line="360" w:lineRule="auto"/>
        <w:ind w:left="284" w:hanging="284"/>
        <w:jc w:val="both"/>
        <w:rPr>
          <w:rFonts w:ascii="Arial" w:hAnsi="Arial" w:cs="Arial"/>
          <w:sz w:val="20"/>
          <w:szCs w:val="20"/>
          <w:lang w:val="id-ID"/>
        </w:rPr>
      </w:pPr>
      <w:r w:rsidRPr="00C738C3">
        <w:rPr>
          <w:rFonts w:ascii="Arial" w:hAnsi="Arial" w:cs="Arial"/>
          <w:color w:val="000000"/>
          <w:sz w:val="20"/>
          <w:szCs w:val="20"/>
          <w:lang w:val="id-ID"/>
        </w:rPr>
        <w:t xml:space="preserve">Profil anemia berdasarkan indeks eritrosit: </w:t>
      </w:r>
      <w:r w:rsidR="00C738C3">
        <w:rPr>
          <w:rFonts w:ascii="Arial" w:hAnsi="Arial" w:cs="Arial"/>
          <w:color w:val="000000"/>
          <w:sz w:val="20"/>
          <w:szCs w:val="20"/>
          <w:lang w:val="id-ID"/>
        </w:rPr>
        <w:t>G</w:t>
      </w:r>
      <w:r w:rsidR="00C738C3" w:rsidRPr="00C738C3">
        <w:rPr>
          <w:rFonts w:ascii="Arial" w:hAnsi="Arial" w:cs="Arial"/>
          <w:color w:val="000000"/>
          <w:sz w:val="20"/>
          <w:szCs w:val="20"/>
          <w:lang w:val="id-ID"/>
        </w:rPr>
        <w:t>ambaran dari jenis anemia berdasarkan  nilai MCV, MCH, dan MCHC</w:t>
      </w:r>
      <w:r w:rsidR="00C70966">
        <w:rPr>
          <w:rFonts w:ascii="Arial" w:hAnsi="Arial" w:cs="Arial"/>
          <w:color w:val="000000"/>
          <w:sz w:val="20"/>
          <w:szCs w:val="20"/>
          <w:lang w:val="id-ID"/>
        </w:rPr>
        <w:t>.</w:t>
      </w:r>
      <w:r w:rsidR="00C70966">
        <w:rPr>
          <w:rFonts w:ascii="Arial" w:hAnsi="Arial" w:cs="Arial"/>
          <w:color w:val="000000"/>
          <w:sz w:val="20"/>
          <w:szCs w:val="20"/>
          <w:vertAlign w:val="superscript"/>
          <w:lang w:val="id-ID"/>
        </w:rPr>
        <w:t>10</w:t>
      </w:r>
    </w:p>
    <w:p w:rsidR="00C738C3" w:rsidRPr="00C738C3" w:rsidRDefault="00C738C3" w:rsidP="00C738C3">
      <w:pPr>
        <w:spacing w:line="360" w:lineRule="auto"/>
        <w:ind w:firstLine="426"/>
        <w:jc w:val="both"/>
        <w:rPr>
          <w:rFonts w:ascii="Arial" w:hAnsi="Arial" w:cs="Arial"/>
          <w:sz w:val="20"/>
          <w:szCs w:val="20"/>
        </w:rPr>
      </w:pPr>
      <w:r w:rsidRPr="00C738C3">
        <w:rPr>
          <w:rFonts w:ascii="Arial" w:hAnsi="Arial" w:cs="Arial"/>
          <w:sz w:val="20"/>
          <w:szCs w:val="20"/>
          <w:lang w:val="id-ID"/>
        </w:rPr>
        <w:t xml:space="preserve">Pengumpulan data meliputi </w:t>
      </w:r>
      <w:r w:rsidRPr="00C738C3">
        <w:rPr>
          <w:rFonts w:ascii="Arial" w:hAnsi="Arial" w:cs="Arial"/>
          <w:sz w:val="20"/>
          <w:szCs w:val="20"/>
        </w:rPr>
        <w:t xml:space="preserve">pengisian kuesioner </w:t>
      </w:r>
      <w:r w:rsidRPr="00C738C3">
        <w:rPr>
          <w:rFonts w:ascii="Arial" w:hAnsi="Arial" w:cs="Arial"/>
          <w:sz w:val="20"/>
          <w:szCs w:val="20"/>
          <w:lang w:val="id-ID"/>
        </w:rPr>
        <w:t xml:space="preserve">tentang identitas responden, status gizi responden, dan tingkat pendapatan keluarga per bulan sebagai data pendukung. Pengambilan darah sebanyak ± 3 cc dari vena mediana cubiti untuk pemeriksaan kadar hemoglobin responden dan indeks eritrosit anak yang mengalami anemia. </w:t>
      </w:r>
      <w:r w:rsidRPr="00C738C3">
        <w:rPr>
          <w:rFonts w:ascii="Arial" w:hAnsi="Arial" w:cs="Arial"/>
          <w:sz w:val="20"/>
          <w:szCs w:val="20"/>
          <w:lang w:val="id-ID"/>
        </w:rPr>
        <w:lastRenderedPageBreak/>
        <w:t>Selanjutnya darah dimasukkan ke dalam tabung yang sudah diberi EDTA (</w:t>
      </w:r>
      <w:r w:rsidRPr="00C738C3">
        <w:rPr>
          <w:rFonts w:ascii="Arial" w:hAnsi="Arial" w:cs="Arial"/>
          <w:i/>
          <w:sz w:val="20"/>
          <w:szCs w:val="20"/>
          <w:lang w:val="id-ID"/>
        </w:rPr>
        <w:t>ethylene diamine tetraacetic acid</w:t>
      </w:r>
      <w:r w:rsidRPr="00C738C3">
        <w:rPr>
          <w:rFonts w:ascii="Arial" w:hAnsi="Arial" w:cs="Arial"/>
          <w:sz w:val="20"/>
          <w:szCs w:val="20"/>
          <w:lang w:val="id-ID"/>
        </w:rPr>
        <w:t>) dan dibawa ke laboratorium untuk dilakukan pemeriksaan</w:t>
      </w:r>
      <w:r w:rsidRPr="00C738C3">
        <w:rPr>
          <w:rFonts w:ascii="Arial" w:hAnsi="Arial" w:cs="Arial"/>
          <w:sz w:val="20"/>
          <w:szCs w:val="20"/>
        </w:rPr>
        <w:t xml:space="preserve"> </w:t>
      </w:r>
      <w:r w:rsidRPr="00C738C3">
        <w:rPr>
          <w:rFonts w:ascii="Arial" w:hAnsi="Arial" w:cs="Arial"/>
          <w:sz w:val="20"/>
          <w:szCs w:val="20"/>
          <w:lang w:val="id-ID"/>
        </w:rPr>
        <w:t xml:space="preserve">menggunakan alat </w:t>
      </w:r>
      <w:r w:rsidRPr="00C738C3">
        <w:rPr>
          <w:rFonts w:ascii="Arial" w:hAnsi="Arial" w:cs="Arial"/>
          <w:i/>
          <w:sz w:val="20"/>
          <w:szCs w:val="20"/>
          <w:lang w:val="id-ID"/>
        </w:rPr>
        <w:t>auto hematology analyzer.</w:t>
      </w:r>
      <w:r w:rsidRPr="00C738C3">
        <w:rPr>
          <w:rFonts w:ascii="Arial" w:hAnsi="Arial" w:cs="Arial"/>
          <w:sz w:val="20"/>
          <w:szCs w:val="20"/>
        </w:rPr>
        <w:t xml:space="preserve"> Data dianalisis </w:t>
      </w:r>
      <w:r w:rsidRPr="00C738C3">
        <w:rPr>
          <w:rFonts w:ascii="Arial" w:hAnsi="Arial" w:cs="Arial"/>
          <w:sz w:val="20"/>
          <w:szCs w:val="20"/>
          <w:lang w:val="id-ID"/>
        </w:rPr>
        <w:t xml:space="preserve">dengan statistik </w:t>
      </w:r>
      <w:r w:rsidRPr="00C738C3">
        <w:rPr>
          <w:rFonts w:ascii="Arial" w:hAnsi="Arial" w:cs="Arial"/>
          <w:sz w:val="20"/>
          <w:szCs w:val="20"/>
        </w:rPr>
        <w:t>univariat.</w:t>
      </w:r>
    </w:p>
    <w:p w:rsidR="002258CD" w:rsidRPr="007D2CFD" w:rsidRDefault="002258CD" w:rsidP="00CF7EDF">
      <w:pPr>
        <w:spacing w:line="360" w:lineRule="auto"/>
        <w:jc w:val="both"/>
        <w:rPr>
          <w:rFonts w:ascii="Arial" w:hAnsi="Arial" w:cs="Arial"/>
          <w:sz w:val="20"/>
          <w:szCs w:val="20"/>
          <w:lang w:val="id-ID"/>
        </w:rPr>
      </w:pPr>
    </w:p>
    <w:p w:rsidR="00A9662E" w:rsidRPr="007D2CFD" w:rsidRDefault="00A9662E" w:rsidP="00CF7EDF">
      <w:pPr>
        <w:spacing w:line="360" w:lineRule="auto"/>
        <w:jc w:val="both"/>
        <w:rPr>
          <w:rFonts w:ascii="Arial" w:hAnsi="Arial" w:cs="Arial"/>
          <w:b/>
          <w:sz w:val="20"/>
          <w:szCs w:val="20"/>
        </w:rPr>
      </w:pPr>
      <w:r w:rsidRPr="007D2CFD">
        <w:rPr>
          <w:rFonts w:ascii="Arial" w:hAnsi="Arial" w:cs="Arial"/>
          <w:b/>
          <w:sz w:val="20"/>
          <w:szCs w:val="20"/>
        </w:rPr>
        <w:t xml:space="preserve">HASIL PENELITIAN </w:t>
      </w:r>
    </w:p>
    <w:p w:rsidR="00BB340D" w:rsidRPr="00C738C3" w:rsidRDefault="00C738C3" w:rsidP="00CF7EDF">
      <w:pPr>
        <w:pStyle w:val="NoSpacing"/>
        <w:spacing w:line="360" w:lineRule="auto"/>
        <w:ind w:left="0"/>
        <w:rPr>
          <w:rFonts w:ascii="Arial" w:hAnsi="Arial" w:cs="Arial"/>
          <w:b/>
          <w:sz w:val="20"/>
          <w:szCs w:val="20"/>
          <w:lang w:val="id-ID"/>
        </w:rPr>
      </w:pPr>
      <w:r>
        <w:rPr>
          <w:rFonts w:ascii="Arial" w:hAnsi="Arial" w:cs="Arial"/>
          <w:b/>
          <w:sz w:val="20"/>
          <w:szCs w:val="20"/>
          <w:lang w:val="id-ID"/>
        </w:rPr>
        <w:t>Karakteristik Responden</w:t>
      </w:r>
    </w:p>
    <w:p w:rsidR="00B75AE3" w:rsidRPr="006B5E0A" w:rsidRDefault="006B5E0A" w:rsidP="00CF7EDF">
      <w:pPr>
        <w:spacing w:line="360" w:lineRule="auto"/>
        <w:jc w:val="both"/>
        <w:rPr>
          <w:rFonts w:ascii="Arial" w:hAnsi="Arial" w:cs="Arial"/>
          <w:b/>
          <w:sz w:val="20"/>
          <w:szCs w:val="20"/>
        </w:rPr>
      </w:pPr>
      <w:r w:rsidRPr="006B5E0A">
        <w:rPr>
          <w:rFonts w:ascii="Arial" w:hAnsi="Arial" w:cs="Arial"/>
          <w:sz w:val="20"/>
          <w:szCs w:val="20"/>
        </w:rPr>
        <w:t>Responden</w:t>
      </w:r>
      <w:r w:rsidRPr="006B5E0A">
        <w:rPr>
          <w:rFonts w:ascii="Arial" w:hAnsi="Arial" w:cs="Arial"/>
          <w:sz w:val="20"/>
          <w:szCs w:val="20"/>
          <w:lang w:val="id-ID"/>
        </w:rPr>
        <w:t xml:space="preserve"> </w:t>
      </w:r>
      <w:r w:rsidRPr="006B5E0A">
        <w:rPr>
          <w:rFonts w:ascii="Arial" w:hAnsi="Arial" w:cs="Arial"/>
          <w:sz w:val="20"/>
          <w:szCs w:val="20"/>
        </w:rPr>
        <w:t>dalam penelitian ini adalah 201</w:t>
      </w:r>
      <w:r w:rsidRPr="006B5E0A">
        <w:rPr>
          <w:rFonts w:ascii="Arial" w:hAnsi="Arial" w:cs="Arial"/>
          <w:sz w:val="20"/>
          <w:szCs w:val="20"/>
          <w:lang w:val="id-ID"/>
        </w:rPr>
        <w:t xml:space="preserve"> anak dari 354 siswa</w:t>
      </w:r>
      <w:r w:rsidRPr="006B5E0A">
        <w:rPr>
          <w:rFonts w:ascii="Arial" w:hAnsi="Arial" w:cs="Arial"/>
          <w:sz w:val="20"/>
          <w:szCs w:val="20"/>
        </w:rPr>
        <w:t>.</w:t>
      </w:r>
      <w:r w:rsidRPr="006B5E0A">
        <w:rPr>
          <w:rFonts w:ascii="Arial" w:hAnsi="Arial" w:cs="Arial"/>
          <w:sz w:val="20"/>
          <w:szCs w:val="20"/>
          <w:lang w:val="id-ID"/>
        </w:rPr>
        <w:t xml:space="preserve"> D</w:t>
      </w:r>
      <w:r w:rsidRPr="006B5E0A">
        <w:rPr>
          <w:rFonts w:ascii="Arial" w:hAnsi="Arial" w:cs="Arial"/>
          <w:sz w:val="20"/>
          <w:szCs w:val="20"/>
        </w:rPr>
        <w:t>istribusi responden</w:t>
      </w:r>
      <w:r w:rsidRPr="006B5E0A">
        <w:rPr>
          <w:rFonts w:ascii="Arial" w:hAnsi="Arial" w:cs="Arial"/>
          <w:sz w:val="20"/>
          <w:szCs w:val="20"/>
          <w:lang w:val="id-ID"/>
        </w:rPr>
        <w:t xml:space="preserve"> yang berjumlah 201 terdiri atas</w:t>
      </w:r>
      <w:r w:rsidRPr="006B5E0A">
        <w:rPr>
          <w:rFonts w:ascii="Arial" w:hAnsi="Arial" w:cs="Arial"/>
          <w:sz w:val="20"/>
          <w:szCs w:val="20"/>
        </w:rPr>
        <w:t xml:space="preserve"> laki-lak</w:t>
      </w:r>
      <w:r w:rsidRPr="006B5E0A">
        <w:rPr>
          <w:rFonts w:ascii="Arial" w:hAnsi="Arial" w:cs="Arial"/>
          <w:sz w:val="20"/>
          <w:szCs w:val="20"/>
          <w:lang w:val="id-ID"/>
        </w:rPr>
        <w:t>i</w:t>
      </w:r>
      <w:r w:rsidRPr="006B5E0A">
        <w:rPr>
          <w:rFonts w:ascii="Arial" w:hAnsi="Arial" w:cs="Arial"/>
          <w:sz w:val="20"/>
          <w:szCs w:val="20"/>
        </w:rPr>
        <w:t xml:space="preserve"> sebanyak 111 </w:t>
      </w:r>
      <w:r w:rsidRPr="006B5E0A">
        <w:rPr>
          <w:rFonts w:ascii="Arial" w:hAnsi="Arial" w:cs="Arial"/>
          <w:sz w:val="20"/>
          <w:szCs w:val="20"/>
          <w:lang w:val="id-ID"/>
        </w:rPr>
        <w:t>anak</w:t>
      </w:r>
      <w:r w:rsidRPr="006B5E0A">
        <w:rPr>
          <w:rFonts w:ascii="Arial" w:hAnsi="Arial" w:cs="Arial"/>
          <w:sz w:val="20"/>
          <w:szCs w:val="20"/>
        </w:rPr>
        <w:t xml:space="preserve"> (55,2%), sedangkan perempuan sebanyak 90 </w:t>
      </w:r>
      <w:r w:rsidRPr="006B5E0A">
        <w:rPr>
          <w:rFonts w:ascii="Arial" w:hAnsi="Arial" w:cs="Arial"/>
          <w:sz w:val="20"/>
          <w:szCs w:val="20"/>
          <w:lang w:val="id-ID"/>
        </w:rPr>
        <w:t>anak</w:t>
      </w:r>
      <w:r w:rsidRPr="006B5E0A">
        <w:rPr>
          <w:rFonts w:ascii="Arial" w:hAnsi="Arial" w:cs="Arial"/>
          <w:sz w:val="20"/>
          <w:szCs w:val="20"/>
        </w:rPr>
        <w:t xml:space="preserve"> (44,8%). Rentan</w:t>
      </w:r>
      <w:r w:rsidRPr="006B5E0A">
        <w:rPr>
          <w:rFonts w:ascii="Arial" w:hAnsi="Arial" w:cs="Arial"/>
          <w:sz w:val="20"/>
          <w:szCs w:val="20"/>
          <w:lang w:val="id-ID"/>
        </w:rPr>
        <w:t>g</w:t>
      </w:r>
      <w:r w:rsidRPr="006B5E0A">
        <w:rPr>
          <w:rFonts w:ascii="Arial" w:hAnsi="Arial" w:cs="Arial"/>
          <w:sz w:val="20"/>
          <w:szCs w:val="20"/>
        </w:rPr>
        <w:t xml:space="preserve"> u</w:t>
      </w:r>
      <w:r w:rsidRPr="006B5E0A">
        <w:rPr>
          <w:rFonts w:ascii="Arial" w:hAnsi="Arial" w:cs="Arial"/>
          <w:sz w:val="20"/>
          <w:szCs w:val="20"/>
          <w:lang w:val="id-ID"/>
        </w:rPr>
        <w:t>mur</w:t>
      </w:r>
      <w:r w:rsidRPr="006B5E0A">
        <w:rPr>
          <w:rFonts w:ascii="Arial" w:hAnsi="Arial" w:cs="Arial"/>
          <w:sz w:val="20"/>
          <w:szCs w:val="20"/>
        </w:rPr>
        <w:t xml:space="preserve"> responden 12-16 tahun.</w:t>
      </w:r>
      <w:r w:rsidRPr="006B5E0A">
        <w:rPr>
          <w:rFonts w:ascii="Arial" w:hAnsi="Arial" w:cs="Arial"/>
          <w:sz w:val="20"/>
          <w:szCs w:val="20"/>
          <w:lang w:val="id-ID"/>
        </w:rPr>
        <w:t xml:space="preserve"> Kadar hemoglobin yang diperoleh </w:t>
      </w:r>
      <w:r w:rsidRPr="006B5E0A">
        <w:rPr>
          <w:rFonts w:ascii="Arial" w:hAnsi="Arial" w:cs="Arial"/>
          <w:sz w:val="20"/>
          <w:szCs w:val="20"/>
        </w:rPr>
        <w:t>bervariasi</w:t>
      </w:r>
      <w:r w:rsidRPr="006B5E0A">
        <w:rPr>
          <w:rFonts w:ascii="Arial" w:hAnsi="Arial" w:cs="Arial"/>
          <w:sz w:val="20"/>
          <w:szCs w:val="20"/>
          <w:lang w:val="id-ID"/>
        </w:rPr>
        <w:t>,</w:t>
      </w:r>
      <w:r w:rsidRPr="006B5E0A">
        <w:rPr>
          <w:rFonts w:ascii="Arial" w:hAnsi="Arial" w:cs="Arial"/>
          <w:sz w:val="20"/>
          <w:szCs w:val="20"/>
        </w:rPr>
        <w:t xml:space="preserve"> </w:t>
      </w:r>
      <w:r w:rsidRPr="006B5E0A">
        <w:rPr>
          <w:rFonts w:ascii="Arial" w:hAnsi="Arial" w:cs="Arial"/>
          <w:sz w:val="20"/>
          <w:szCs w:val="20"/>
          <w:lang w:val="id-ID"/>
        </w:rPr>
        <w:t>yaitu paling rendah</w:t>
      </w:r>
      <w:r w:rsidRPr="006B5E0A">
        <w:rPr>
          <w:rFonts w:ascii="Arial" w:hAnsi="Arial" w:cs="Arial"/>
          <w:sz w:val="20"/>
          <w:szCs w:val="20"/>
        </w:rPr>
        <w:t xml:space="preserve"> 7,3 g/dl sampai </w:t>
      </w:r>
      <w:r w:rsidRPr="006B5E0A">
        <w:rPr>
          <w:rFonts w:ascii="Arial" w:hAnsi="Arial" w:cs="Arial"/>
          <w:sz w:val="20"/>
          <w:szCs w:val="20"/>
          <w:lang w:val="id-ID"/>
        </w:rPr>
        <w:t xml:space="preserve">tertinggi </w:t>
      </w:r>
      <w:r w:rsidRPr="006B5E0A">
        <w:rPr>
          <w:rFonts w:ascii="Arial" w:hAnsi="Arial" w:cs="Arial"/>
          <w:sz w:val="20"/>
          <w:szCs w:val="20"/>
        </w:rPr>
        <w:t xml:space="preserve">15,4 g/dl </w:t>
      </w:r>
      <w:r w:rsidRPr="006B5E0A">
        <w:rPr>
          <w:rFonts w:ascii="Arial" w:hAnsi="Arial" w:cs="Arial"/>
          <w:sz w:val="20"/>
          <w:szCs w:val="20"/>
          <w:lang w:val="id-ID"/>
        </w:rPr>
        <w:t>dan</w:t>
      </w:r>
      <w:r w:rsidRPr="006B5E0A">
        <w:rPr>
          <w:rFonts w:ascii="Arial" w:hAnsi="Arial" w:cs="Arial"/>
          <w:sz w:val="20"/>
          <w:szCs w:val="20"/>
        </w:rPr>
        <w:t xml:space="preserve"> </w:t>
      </w:r>
      <w:r w:rsidRPr="006B5E0A">
        <w:rPr>
          <w:rFonts w:ascii="Arial" w:hAnsi="Arial" w:cs="Arial"/>
          <w:sz w:val="20"/>
          <w:szCs w:val="20"/>
          <w:lang w:val="id-ID"/>
        </w:rPr>
        <w:t>memiliki nilai rata-rata 13,11</w:t>
      </w:r>
      <w:r w:rsidRPr="006B5E0A">
        <w:rPr>
          <w:rFonts w:ascii="Arial" w:hAnsi="Arial" w:cs="Arial"/>
          <w:sz w:val="20"/>
          <w:szCs w:val="20"/>
        </w:rPr>
        <w:t xml:space="preserve"> g/dl</w:t>
      </w:r>
      <w:r w:rsidRPr="006B5E0A">
        <w:rPr>
          <w:rFonts w:ascii="Arial" w:hAnsi="Arial" w:cs="Arial"/>
          <w:sz w:val="20"/>
          <w:szCs w:val="20"/>
          <w:lang w:val="id-ID"/>
        </w:rPr>
        <w:t xml:space="preserve"> dengan standar deviasi (SD) sebesar ±1,11</w:t>
      </w:r>
      <w:r w:rsidRPr="006B5E0A">
        <w:rPr>
          <w:rFonts w:ascii="Arial" w:hAnsi="Arial" w:cs="Arial"/>
          <w:sz w:val="20"/>
          <w:szCs w:val="20"/>
        </w:rPr>
        <w:t>.</w:t>
      </w:r>
      <w:r w:rsidRPr="006B5E0A">
        <w:rPr>
          <w:rFonts w:ascii="Arial" w:hAnsi="Arial" w:cs="Arial"/>
          <w:sz w:val="20"/>
          <w:szCs w:val="20"/>
          <w:lang w:val="id-ID"/>
        </w:rPr>
        <w:t xml:space="preserve"> S</w:t>
      </w:r>
      <w:r w:rsidRPr="006B5E0A">
        <w:rPr>
          <w:rFonts w:ascii="Arial" w:hAnsi="Arial" w:cs="Arial"/>
          <w:sz w:val="20"/>
          <w:szCs w:val="20"/>
        </w:rPr>
        <w:t xml:space="preserve">tatus gizi </w:t>
      </w:r>
      <w:r w:rsidRPr="006B5E0A">
        <w:rPr>
          <w:rFonts w:ascii="Arial" w:hAnsi="Arial" w:cs="Arial"/>
          <w:sz w:val="20"/>
          <w:szCs w:val="20"/>
          <w:lang w:val="id-ID"/>
        </w:rPr>
        <w:t xml:space="preserve">pada </w:t>
      </w:r>
      <w:r w:rsidRPr="006B5E0A">
        <w:rPr>
          <w:rFonts w:ascii="Arial" w:hAnsi="Arial" w:cs="Arial"/>
          <w:sz w:val="20"/>
          <w:szCs w:val="20"/>
        </w:rPr>
        <w:t xml:space="preserve">responden paling banyak adalah </w:t>
      </w:r>
      <w:r w:rsidRPr="006B5E0A">
        <w:rPr>
          <w:rFonts w:ascii="Arial" w:hAnsi="Arial" w:cs="Arial"/>
          <w:sz w:val="20"/>
          <w:szCs w:val="20"/>
          <w:lang w:val="id-ID"/>
        </w:rPr>
        <w:t>normal</w:t>
      </w:r>
      <w:r w:rsidRPr="006B5E0A">
        <w:rPr>
          <w:rFonts w:ascii="Arial" w:hAnsi="Arial" w:cs="Arial"/>
          <w:sz w:val="20"/>
          <w:szCs w:val="20"/>
        </w:rPr>
        <w:t xml:space="preserve"> </w:t>
      </w:r>
      <w:r w:rsidRPr="006B5E0A">
        <w:rPr>
          <w:rFonts w:ascii="Arial" w:hAnsi="Arial" w:cs="Arial"/>
          <w:sz w:val="20"/>
          <w:szCs w:val="20"/>
          <w:lang w:val="id-ID"/>
        </w:rPr>
        <w:t>sebanyak</w:t>
      </w:r>
      <w:r w:rsidRPr="006B5E0A">
        <w:rPr>
          <w:rFonts w:ascii="Arial" w:hAnsi="Arial" w:cs="Arial"/>
          <w:sz w:val="20"/>
          <w:szCs w:val="20"/>
        </w:rPr>
        <w:t xml:space="preserve"> 1</w:t>
      </w:r>
      <w:r w:rsidRPr="006B5E0A">
        <w:rPr>
          <w:rFonts w:ascii="Arial" w:hAnsi="Arial" w:cs="Arial"/>
          <w:sz w:val="20"/>
          <w:szCs w:val="20"/>
          <w:lang w:val="id-ID"/>
        </w:rPr>
        <w:t>56</w:t>
      </w:r>
      <w:r w:rsidRPr="006B5E0A">
        <w:rPr>
          <w:rFonts w:ascii="Arial" w:hAnsi="Arial" w:cs="Arial"/>
          <w:sz w:val="20"/>
          <w:szCs w:val="20"/>
        </w:rPr>
        <w:t xml:space="preserve"> anak (7</w:t>
      </w:r>
      <w:r w:rsidRPr="006B5E0A">
        <w:rPr>
          <w:rFonts w:ascii="Arial" w:hAnsi="Arial" w:cs="Arial"/>
          <w:sz w:val="20"/>
          <w:szCs w:val="20"/>
          <w:lang w:val="id-ID"/>
        </w:rPr>
        <w:t>7</w:t>
      </w:r>
      <w:r w:rsidRPr="006B5E0A">
        <w:rPr>
          <w:rFonts w:ascii="Arial" w:hAnsi="Arial" w:cs="Arial"/>
          <w:sz w:val="20"/>
          <w:szCs w:val="20"/>
        </w:rPr>
        <w:t>,</w:t>
      </w:r>
      <w:r w:rsidRPr="006B5E0A">
        <w:rPr>
          <w:rFonts w:ascii="Arial" w:hAnsi="Arial" w:cs="Arial"/>
          <w:sz w:val="20"/>
          <w:szCs w:val="20"/>
          <w:lang w:val="id-ID"/>
        </w:rPr>
        <w:t>6</w:t>
      </w:r>
      <w:r w:rsidRPr="006B5E0A">
        <w:rPr>
          <w:rFonts w:ascii="Arial" w:hAnsi="Arial" w:cs="Arial"/>
          <w:sz w:val="20"/>
          <w:szCs w:val="20"/>
        </w:rPr>
        <w:t>%)</w:t>
      </w:r>
      <w:r w:rsidRPr="006B5E0A">
        <w:rPr>
          <w:rFonts w:ascii="Arial" w:hAnsi="Arial" w:cs="Arial"/>
          <w:sz w:val="20"/>
          <w:szCs w:val="20"/>
          <w:lang w:val="id-ID"/>
        </w:rPr>
        <w:t>. Dilihat dari t</w:t>
      </w:r>
      <w:r w:rsidRPr="006B5E0A">
        <w:rPr>
          <w:rFonts w:ascii="Arial" w:hAnsi="Arial" w:cs="Arial"/>
          <w:sz w:val="20"/>
          <w:szCs w:val="20"/>
        </w:rPr>
        <w:t>ingkat pendapatan keluarga</w:t>
      </w:r>
      <w:r w:rsidRPr="006B5E0A">
        <w:rPr>
          <w:rFonts w:ascii="Arial" w:hAnsi="Arial" w:cs="Arial"/>
          <w:sz w:val="20"/>
          <w:szCs w:val="20"/>
          <w:lang w:val="id-ID"/>
        </w:rPr>
        <w:t xml:space="preserve">, 151 (75,1%) keluarga responden memiliki pendapatan kurang dari </w:t>
      </w:r>
      <w:r w:rsidRPr="006B5E0A">
        <w:rPr>
          <w:rFonts w:ascii="Arial" w:hAnsi="Arial" w:cs="Arial"/>
          <w:sz w:val="20"/>
          <w:szCs w:val="20"/>
        </w:rPr>
        <w:t>Rp.1.000.000.00</w:t>
      </w:r>
      <w:r w:rsidRPr="006B5E0A">
        <w:rPr>
          <w:rFonts w:ascii="Arial" w:hAnsi="Arial" w:cs="Arial"/>
          <w:sz w:val="20"/>
          <w:szCs w:val="20"/>
          <w:lang w:val="id-ID"/>
        </w:rPr>
        <w:t xml:space="preserve"> per bulan</w:t>
      </w:r>
      <w:r w:rsidRPr="006B5E0A">
        <w:rPr>
          <w:rFonts w:ascii="Arial" w:hAnsi="Arial" w:cs="Arial"/>
          <w:sz w:val="20"/>
          <w:szCs w:val="20"/>
        </w:rPr>
        <w:t>.</w:t>
      </w:r>
      <w:r w:rsidRPr="006B5E0A">
        <w:rPr>
          <w:rFonts w:ascii="Arial" w:hAnsi="Arial" w:cs="Arial"/>
          <w:sz w:val="20"/>
          <w:szCs w:val="20"/>
          <w:lang w:val="id-ID"/>
        </w:rPr>
        <w:t xml:space="preserve"> Secara terperinci karakteristik responden dapat dilihat pada tabel </w:t>
      </w:r>
      <w:r w:rsidR="00BA3329">
        <w:rPr>
          <w:rFonts w:ascii="Arial" w:hAnsi="Arial" w:cs="Arial"/>
          <w:sz w:val="20"/>
          <w:szCs w:val="20"/>
          <w:lang w:val="id-ID"/>
        </w:rPr>
        <w:t>2</w:t>
      </w:r>
      <w:r w:rsidRPr="006B5E0A">
        <w:rPr>
          <w:rFonts w:ascii="Arial" w:hAnsi="Arial" w:cs="Arial"/>
          <w:sz w:val="20"/>
          <w:szCs w:val="20"/>
          <w:lang w:val="id-ID"/>
        </w:rPr>
        <w:t xml:space="preserve"> berikut:</w:t>
      </w:r>
    </w:p>
    <w:p w:rsidR="006B5E0A" w:rsidRDefault="006B5E0A" w:rsidP="00CF7EDF">
      <w:pPr>
        <w:spacing w:line="360" w:lineRule="auto"/>
        <w:jc w:val="both"/>
        <w:rPr>
          <w:rFonts w:ascii="Arial" w:hAnsi="Arial" w:cs="Arial"/>
          <w:b/>
          <w:sz w:val="20"/>
          <w:szCs w:val="20"/>
          <w:lang w:val="id-ID"/>
        </w:rPr>
      </w:pPr>
    </w:p>
    <w:p w:rsidR="006B5E0A" w:rsidRDefault="006B5E0A" w:rsidP="00CF7EDF">
      <w:pPr>
        <w:spacing w:line="360" w:lineRule="auto"/>
        <w:jc w:val="both"/>
        <w:rPr>
          <w:rFonts w:ascii="Arial" w:hAnsi="Arial" w:cs="Arial"/>
          <w:b/>
          <w:sz w:val="20"/>
          <w:szCs w:val="20"/>
          <w:lang w:val="id-ID"/>
        </w:rPr>
      </w:pPr>
    </w:p>
    <w:p w:rsidR="006B5E0A" w:rsidRDefault="006B5E0A" w:rsidP="00CF7EDF">
      <w:pPr>
        <w:spacing w:line="360" w:lineRule="auto"/>
        <w:jc w:val="both"/>
        <w:rPr>
          <w:rFonts w:ascii="Arial" w:hAnsi="Arial" w:cs="Arial"/>
          <w:b/>
          <w:sz w:val="20"/>
          <w:szCs w:val="20"/>
          <w:lang w:val="id-ID"/>
        </w:rPr>
      </w:pPr>
    </w:p>
    <w:p w:rsidR="006B5E0A" w:rsidRDefault="006B5E0A" w:rsidP="00CF7EDF">
      <w:pPr>
        <w:spacing w:line="360" w:lineRule="auto"/>
        <w:jc w:val="both"/>
        <w:rPr>
          <w:rFonts w:ascii="Arial" w:hAnsi="Arial" w:cs="Arial"/>
          <w:b/>
          <w:sz w:val="20"/>
          <w:szCs w:val="20"/>
          <w:lang w:val="id-ID"/>
        </w:rPr>
      </w:pPr>
    </w:p>
    <w:p w:rsidR="006B5E0A" w:rsidRDefault="006B5E0A" w:rsidP="00CF7EDF">
      <w:pPr>
        <w:spacing w:line="360" w:lineRule="auto"/>
        <w:jc w:val="both"/>
        <w:rPr>
          <w:rFonts w:ascii="Arial" w:hAnsi="Arial" w:cs="Arial"/>
          <w:b/>
          <w:sz w:val="20"/>
          <w:szCs w:val="20"/>
          <w:lang w:val="id-ID"/>
        </w:rPr>
      </w:pPr>
    </w:p>
    <w:p w:rsidR="00BA3329" w:rsidRDefault="00BA3329" w:rsidP="00CF7EDF">
      <w:pPr>
        <w:spacing w:line="360" w:lineRule="auto"/>
        <w:jc w:val="both"/>
        <w:rPr>
          <w:rFonts w:ascii="Arial" w:hAnsi="Arial" w:cs="Arial"/>
          <w:b/>
          <w:sz w:val="20"/>
          <w:szCs w:val="20"/>
          <w:lang w:val="id-ID"/>
        </w:rPr>
        <w:sectPr w:rsidR="00BA3329" w:rsidSect="002B3161">
          <w:pgSz w:w="11907" w:h="16839" w:code="9"/>
          <w:pgMar w:top="2275" w:right="1699" w:bottom="1699" w:left="2275" w:header="720" w:footer="720" w:gutter="0"/>
          <w:cols w:num="2" w:space="720"/>
          <w:titlePg/>
          <w:docGrid w:linePitch="360"/>
        </w:sectPr>
      </w:pPr>
    </w:p>
    <w:p w:rsidR="00C70966" w:rsidRDefault="00C70966" w:rsidP="00BA3329">
      <w:pPr>
        <w:jc w:val="center"/>
        <w:rPr>
          <w:rFonts w:ascii="Arial" w:hAnsi="Arial" w:cs="Arial"/>
          <w:b/>
          <w:sz w:val="20"/>
          <w:szCs w:val="20"/>
          <w:lang w:val="id-ID"/>
        </w:rPr>
      </w:pPr>
    </w:p>
    <w:p w:rsidR="00C70966" w:rsidRDefault="00C70966" w:rsidP="00BA3329">
      <w:pPr>
        <w:jc w:val="center"/>
        <w:rPr>
          <w:rFonts w:ascii="Arial" w:hAnsi="Arial" w:cs="Arial"/>
          <w:b/>
          <w:sz w:val="20"/>
          <w:szCs w:val="20"/>
          <w:lang w:val="id-ID"/>
        </w:rPr>
      </w:pPr>
    </w:p>
    <w:p w:rsidR="006B5E0A" w:rsidRDefault="00BA3329" w:rsidP="00BA3329">
      <w:pPr>
        <w:jc w:val="center"/>
        <w:rPr>
          <w:rFonts w:ascii="Arial" w:hAnsi="Arial" w:cs="Arial"/>
          <w:b/>
          <w:sz w:val="20"/>
          <w:szCs w:val="20"/>
          <w:lang w:val="id-ID"/>
        </w:rPr>
      </w:pPr>
      <w:r>
        <w:rPr>
          <w:rFonts w:ascii="Arial" w:hAnsi="Arial" w:cs="Arial"/>
          <w:b/>
          <w:sz w:val="20"/>
          <w:szCs w:val="20"/>
          <w:lang w:val="id-ID"/>
        </w:rPr>
        <w:lastRenderedPageBreak/>
        <w:t>Tabel 2. K</w:t>
      </w:r>
      <w:r w:rsidR="006B5E0A">
        <w:rPr>
          <w:rFonts w:ascii="Arial" w:hAnsi="Arial" w:cs="Arial"/>
          <w:b/>
          <w:sz w:val="20"/>
          <w:szCs w:val="20"/>
          <w:lang w:val="id-ID"/>
        </w:rPr>
        <w:t>arakteristik Responden</w:t>
      </w:r>
    </w:p>
    <w:p w:rsidR="006B5E0A" w:rsidRDefault="006B5E0A" w:rsidP="00BA3329">
      <w:pPr>
        <w:jc w:val="center"/>
        <w:rPr>
          <w:b/>
          <w:sz w:val="20"/>
          <w:szCs w:val="20"/>
          <w:lang w:val="id-ID"/>
        </w:rPr>
        <w:sectPr w:rsidR="006B5E0A" w:rsidSect="00BA3329">
          <w:type w:val="continuous"/>
          <w:pgSz w:w="11907" w:h="16839" w:code="9"/>
          <w:pgMar w:top="2275" w:right="1699" w:bottom="1699" w:left="2275" w:header="720" w:footer="720" w:gutter="0"/>
          <w:cols w:space="720"/>
          <w:titlePg/>
          <w:docGrid w:linePitch="360"/>
        </w:sectPr>
      </w:pPr>
    </w:p>
    <w:tbl>
      <w:tblPr>
        <w:tblW w:w="6642" w:type="dxa"/>
        <w:jc w:val="center"/>
        <w:tblBorders>
          <w:top w:val="single" w:sz="4" w:space="0" w:color="auto"/>
          <w:bottom w:val="single" w:sz="4" w:space="0" w:color="auto"/>
        </w:tblBorders>
        <w:tblLook w:val="04A0"/>
      </w:tblPr>
      <w:tblGrid>
        <w:gridCol w:w="4374"/>
        <w:gridCol w:w="1320"/>
        <w:gridCol w:w="948"/>
      </w:tblGrid>
      <w:tr w:rsidR="006B5E0A" w:rsidRPr="00BA3329" w:rsidTr="00BA3329">
        <w:trPr>
          <w:jc w:val="center"/>
        </w:trPr>
        <w:tc>
          <w:tcPr>
            <w:tcW w:w="4374" w:type="dxa"/>
            <w:tcBorders>
              <w:top w:val="single" w:sz="4" w:space="0" w:color="auto"/>
              <w:bottom w:val="single" w:sz="4" w:space="0" w:color="auto"/>
            </w:tcBorders>
            <w:shd w:val="clear" w:color="auto" w:fill="auto"/>
          </w:tcPr>
          <w:p w:rsidR="006B5E0A" w:rsidRPr="00BA3329" w:rsidRDefault="006B5E0A" w:rsidP="00024871">
            <w:pPr>
              <w:jc w:val="both"/>
              <w:rPr>
                <w:rFonts w:ascii="Arial" w:hAnsi="Arial" w:cs="Arial"/>
                <w:b/>
                <w:sz w:val="18"/>
                <w:szCs w:val="18"/>
                <w:lang w:val="id-ID"/>
              </w:rPr>
            </w:pPr>
            <w:r w:rsidRPr="00BA3329">
              <w:rPr>
                <w:rFonts w:ascii="Arial" w:hAnsi="Arial" w:cs="Arial"/>
                <w:b/>
                <w:sz w:val="18"/>
                <w:szCs w:val="18"/>
                <w:lang w:val="id-ID"/>
              </w:rPr>
              <w:lastRenderedPageBreak/>
              <w:t>Karakteristik</w:t>
            </w:r>
          </w:p>
          <w:p w:rsidR="006B5E0A" w:rsidRPr="00BA3329" w:rsidRDefault="006B5E0A" w:rsidP="00024871">
            <w:pPr>
              <w:jc w:val="both"/>
              <w:rPr>
                <w:rFonts w:ascii="Arial" w:hAnsi="Arial" w:cs="Arial"/>
                <w:b/>
                <w:sz w:val="18"/>
                <w:szCs w:val="18"/>
              </w:rPr>
            </w:pPr>
          </w:p>
        </w:tc>
        <w:tc>
          <w:tcPr>
            <w:tcW w:w="1320" w:type="dxa"/>
            <w:tcBorders>
              <w:top w:val="single" w:sz="4" w:space="0" w:color="auto"/>
              <w:bottom w:val="single" w:sz="4" w:space="0" w:color="auto"/>
            </w:tcBorders>
            <w:shd w:val="clear" w:color="auto" w:fill="auto"/>
          </w:tcPr>
          <w:p w:rsidR="006B5E0A" w:rsidRPr="00BA3329" w:rsidRDefault="006B5E0A" w:rsidP="00024871">
            <w:pPr>
              <w:jc w:val="both"/>
              <w:rPr>
                <w:rFonts w:ascii="Arial" w:hAnsi="Arial" w:cs="Arial"/>
                <w:b/>
                <w:sz w:val="18"/>
                <w:szCs w:val="18"/>
                <w:lang w:val="id-ID"/>
              </w:rPr>
            </w:pPr>
            <w:r w:rsidRPr="00BA3329">
              <w:rPr>
                <w:rFonts w:ascii="Arial" w:hAnsi="Arial" w:cs="Arial"/>
                <w:b/>
                <w:sz w:val="18"/>
                <w:szCs w:val="18"/>
                <w:lang w:val="id-ID"/>
              </w:rPr>
              <w:t>Jumlah</w:t>
            </w:r>
          </w:p>
          <w:p w:rsidR="006B5E0A" w:rsidRPr="00BA3329" w:rsidRDefault="006B5E0A" w:rsidP="00024871">
            <w:pPr>
              <w:jc w:val="both"/>
              <w:rPr>
                <w:rFonts w:ascii="Arial" w:hAnsi="Arial" w:cs="Arial"/>
                <w:b/>
                <w:sz w:val="18"/>
                <w:szCs w:val="18"/>
                <w:lang w:val="id-ID"/>
              </w:rPr>
            </w:pPr>
            <w:r w:rsidRPr="00BA3329">
              <w:rPr>
                <w:rFonts w:ascii="Arial" w:hAnsi="Arial" w:cs="Arial"/>
                <w:b/>
                <w:sz w:val="18"/>
                <w:szCs w:val="18"/>
                <w:lang w:val="id-ID"/>
              </w:rPr>
              <w:t xml:space="preserve">  n=</w:t>
            </w:r>
            <w:r w:rsidRPr="00BA3329">
              <w:rPr>
                <w:rFonts w:ascii="Arial" w:hAnsi="Arial" w:cs="Arial"/>
                <w:b/>
                <w:sz w:val="18"/>
                <w:szCs w:val="18"/>
              </w:rPr>
              <w:t>201</w:t>
            </w:r>
          </w:p>
        </w:tc>
        <w:tc>
          <w:tcPr>
            <w:tcW w:w="948" w:type="dxa"/>
            <w:tcBorders>
              <w:top w:val="single" w:sz="4" w:space="0" w:color="auto"/>
              <w:bottom w:val="single" w:sz="4" w:space="0" w:color="auto"/>
            </w:tcBorders>
            <w:shd w:val="clear" w:color="auto" w:fill="auto"/>
          </w:tcPr>
          <w:p w:rsidR="006B5E0A" w:rsidRPr="00BA3329" w:rsidRDefault="006B5E0A" w:rsidP="00024871">
            <w:pPr>
              <w:jc w:val="both"/>
              <w:rPr>
                <w:rFonts w:ascii="Arial" w:hAnsi="Arial" w:cs="Arial"/>
                <w:b/>
                <w:sz w:val="18"/>
                <w:szCs w:val="18"/>
                <w:lang w:val="id-ID"/>
              </w:rPr>
            </w:pPr>
            <w:r w:rsidRPr="00BA3329">
              <w:rPr>
                <w:rFonts w:ascii="Arial" w:hAnsi="Arial" w:cs="Arial"/>
                <w:b/>
                <w:sz w:val="18"/>
                <w:szCs w:val="18"/>
                <w:lang w:val="id-ID"/>
              </w:rPr>
              <w:t>%</w:t>
            </w:r>
          </w:p>
        </w:tc>
      </w:tr>
      <w:tr w:rsidR="006B5E0A" w:rsidRPr="00BA3329" w:rsidTr="00BA3329">
        <w:trPr>
          <w:jc w:val="center"/>
        </w:trPr>
        <w:tc>
          <w:tcPr>
            <w:tcW w:w="6642" w:type="dxa"/>
            <w:gridSpan w:val="3"/>
            <w:tcBorders>
              <w:top w:val="single" w:sz="4" w:space="0" w:color="auto"/>
            </w:tcBorders>
            <w:shd w:val="clear" w:color="auto" w:fill="auto"/>
            <w:vAlign w:val="center"/>
          </w:tcPr>
          <w:p w:rsidR="006B5E0A" w:rsidRPr="00BA3329" w:rsidRDefault="006B5E0A" w:rsidP="00024871">
            <w:pPr>
              <w:jc w:val="both"/>
              <w:rPr>
                <w:rFonts w:ascii="Arial" w:hAnsi="Arial" w:cs="Arial"/>
                <w:b/>
                <w:sz w:val="18"/>
                <w:szCs w:val="18"/>
                <w:lang w:val="id-ID"/>
              </w:rPr>
            </w:pPr>
            <w:r w:rsidRPr="00BA3329">
              <w:rPr>
                <w:rFonts w:ascii="Arial" w:hAnsi="Arial" w:cs="Arial"/>
                <w:b/>
                <w:sz w:val="18"/>
                <w:szCs w:val="18"/>
                <w:lang w:val="id-ID"/>
              </w:rPr>
              <w:t>Jenis kelamin</w:t>
            </w:r>
          </w:p>
        </w:tc>
      </w:tr>
      <w:tr w:rsidR="006B5E0A" w:rsidRPr="00BA3329" w:rsidTr="00BA3329">
        <w:trPr>
          <w:jc w:val="center"/>
        </w:trPr>
        <w:tc>
          <w:tcPr>
            <w:tcW w:w="4374" w:type="dxa"/>
            <w:shd w:val="clear" w:color="auto" w:fill="auto"/>
          </w:tcPr>
          <w:p w:rsidR="006B5E0A" w:rsidRPr="00BA3329" w:rsidRDefault="006B5E0A" w:rsidP="006B5E0A">
            <w:pPr>
              <w:numPr>
                <w:ilvl w:val="0"/>
                <w:numId w:val="34"/>
              </w:numPr>
              <w:suppressAutoHyphens w:val="0"/>
              <w:jc w:val="both"/>
              <w:rPr>
                <w:rFonts w:ascii="Arial" w:hAnsi="Arial" w:cs="Arial"/>
                <w:sz w:val="18"/>
                <w:szCs w:val="18"/>
                <w:lang w:val="id-ID"/>
              </w:rPr>
            </w:pPr>
            <w:r w:rsidRPr="00BA3329">
              <w:rPr>
                <w:rFonts w:ascii="Arial" w:hAnsi="Arial" w:cs="Arial"/>
                <w:sz w:val="18"/>
                <w:szCs w:val="18"/>
                <w:lang w:val="id-ID"/>
              </w:rPr>
              <w:t>Laki-laki</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111</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55,2</w:t>
            </w:r>
          </w:p>
        </w:tc>
      </w:tr>
      <w:tr w:rsidR="006B5E0A" w:rsidRPr="00BA3329" w:rsidTr="00BA3329">
        <w:trPr>
          <w:jc w:val="center"/>
        </w:trPr>
        <w:tc>
          <w:tcPr>
            <w:tcW w:w="4374" w:type="dxa"/>
            <w:shd w:val="clear" w:color="auto" w:fill="auto"/>
          </w:tcPr>
          <w:p w:rsidR="006B5E0A" w:rsidRPr="00BA3329" w:rsidRDefault="006B5E0A" w:rsidP="006B5E0A">
            <w:pPr>
              <w:numPr>
                <w:ilvl w:val="0"/>
                <w:numId w:val="34"/>
              </w:numPr>
              <w:suppressAutoHyphens w:val="0"/>
              <w:jc w:val="both"/>
              <w:rPr>
                <w:rFonts w:ascii="Arial" w:hAnsi="Arial" w:cs="Arial"/>
                <w:sz w:val="18"/>
                <w:szCs w:val="18"/>
                <w:lang w:val="id-ID"/>
              </w:rPr>
            </w:pPr>
            <w:r w:rsidRPr="00BA3329">
              <w:rPr>
                <w:rFonts w:ascii="Arial" w:hAnsi="Arial" w:cs="Arial"/>
                <w:sz w:val="18"/>
                <w:szCs w:val="18"/>
                <w:lang w:val="id-ID"/>
              </w:rPr>
              <w:t>Perempuan</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90</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44,8</w:t>
            </w:r>
          </w:p>
        </w:tc>
      </w:tr>
      <w:tr w:rsidR="006B5E0A" w:rsidRPr="00BA3329" w:rsidTr="00BA3329">
        <w:trPr>
          <w:jc w:val="center"/>
        </w:trPr>
        <w:tc>
          <w:tcPr>
            <w:tcW w:w="6642" w:type="dxa"/>
            <w:gridSpan w:val="3"/>
            <w:shd w:val="clear" w:color="auto" w:fill="auto"/>
            <w:vAlign w:val="center"/>
          </w:tcPr>
          <w:p w:rsidR="006B5E0A" w:rsidRPr="00BA3329" w:rsidRDefault="006B5E0A" w:rsidP="00024871">
            <w:pPr>
              <w:jc w:val="both"/>
              <w:rPr>
                <w:rFonts w:ascii="Arial" w:hAnsi="Arial" w:cs="Arial"/>
                <w:b/>
                <w:sz w:val="18"/>
                <w:szCs w:val="18"/>
                <w:lang w:val="id-ID"/>
              </w:rPr>
            </w:pPr>
            <w:r w:rsidRPr="00BA3329">
              <w:rPr>
                <w:rFonts w:ascii="Arial" w:hAnsi="Arial" w:cs="Arial"/>
                <w:b/>
                <w:sz w:val="18"/>
                <w:szCs w:val="18"/>
              </w:rPr>
              <w:t>U</w:t>
            </w:r>
            <w:r w:rsidRPr="00BA3329">
              <w:rPr>
                <w:rFonts w:ascii="Arial" w:hAnsi="Arial" w:cs="Arial"/>
                <w:b/>
                <w:sz w:val="18"/>
                <w:szCs w:val="18"/>
                <w:lang w:val="id-ID"/>
              </w:rPr>
              <w:t>mur</w:t>
            </w:r>
          </w:p>
        </w:tc>
      </w:tr>
      <w:tr w:rsidR="006B5E0A" w:rsidRPr="00BA3329" w:rsidTr="00BA3329">
        <w:trPr>
          <w:jc w:val="center"/>
        </w:trPr>
        <w:tc>
          <w:tcPr>
            <w:tcW w:w="4374" w:type="dxa"/>
            <w:shd w:val="clear" w:color="auto" w:fill="auto"/>
          </w:tcPr>
          <w:p w:rsidR="006B5E0A" w:rsidRPr="00BA3329" w:rsidRDefault="006B5E0A" w:rsidP="006B5E0A">
            <w:pPr>
              <w:numPr>
                <w:ilvl w:val="0"/>
                <w:numId w:val="35"/>
              </w:numPr>
              <w:suppressAutoHyphens w:val="0"/>
              <w:jc w:val="both"/>
              <w:rPr>
                <w:rFonts w:ascii="Arial" w:hAnsi="Arial" w:cs="Arial"/>
                <w:sz w:val="18"/>
                <w:szCs w:val="18"/>
                <w:lang w:val="id-ID"/>
              </w:rPr>
            </w:pPr>
            <w:r w:rsidRPr="00BA3329">
              <w:rPr>
                <w:rFonts w:ascii="Arial" w:hAnsi="Arial" w:cs="Arial"/>
                <w:sz w:val="18"/>
                <w:szCs w:val="18"/>
              </w:rPr>
              <w:t>12 tahun</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20</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10,0</w:t>
            </w:r>
          </w:p>
        </w:tc>
      </w:tr>
      <w:tr w:rsidR="006B5E0A" w:rsidRPr="00BA3329" w:rsidTr="00BA3329">
        <w:trPr>
          <w:jc w:val="center"/>
        </w:trPr>
        <w:tc>
          <w:tcPr>
            <w:tcW w:w="4374" w:type="dxa"/>
            <w:shd w:val="clear" w:color="auto" w:fill="auto"/>
          </w:tcPr>
          <w:p w:rsidR="006B5E0A" w:rsidRPr="00BA3329" w:rsidRDefault="006B5E0A" w:rsidP="006B5E0A">
            <w:pPr>
              <w:numPr>
                <w:ilvl w:val="0"/>
                <w:numId w:val="35"/>
              </w:numPr>
              <w:suppressAutoHyphens w:val="0"/>
              <w:jc w:val="both"/>
              <w:rPr>
                <w:rFonts w:ascii="Arial" w:hAnsi="Arial" w:cs="Arial"/>
                <w:sz w:val="18"/>
                <w:szCs w:val="18"/>
                <w:lang w:val="id-ID"/>
              </w:rPr>
            </w:pPr>
            <w:r w:rsidRPr="00BA3329">
              <w:rPr>
                <w:rFonts w:ascii="Arial" w:hAnsi="Arial" w:cs="Arial"/>
                <w:sz w:val="18"/>
                <w:szCs w:val="18"/>
              </w:rPr>
              <w:t>13 tahun</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80</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39,8</w:t>
            </w:r>
          </w:p>
        </w:tc>
      </w:tr>
      <w:tr w:rsidR="006B5E0A" w:rsidRPr="00BA3329" w:rsidTr="00BA3329">
        <w:trPr>
          <w:jc w:val="center"/>
        </w:trPr>
        <w:tc>
          <w:tcPr>
            <w:tcW w:w="4374" w:type="dxa"/>
            <w:shd w:val="clear" w:color="auto" w:fill="auto"/>
          </w:tcPr>
          <w:p w:rsidR="006B5E0A" w:rsidRPr="00BA3329" w:rsidRDefault="006B5E0A" w:rsidP="006B5E0A">
            <w:pPr>
              <w:numPr>
                <w:ilvl w:val="0"/>
                <w:numId w:val="35"/>
              </w:numPr>
              <w:suppressAutoHyphens w:val="0"/>
              <w:jc w:val="both"/>
              <w:rPr>
                <w:rFonts w:ascii="Arial" w:hAnsi="Arial" w:cs="Arial"/>
                <w:sz w:val="18"/>
                <w:szCs w:val="18"/>
              </w:rPr>
            </w:pPr>
            <w:r w:rsidRPr="00BA3329">
              <w:rPr>
                <w:rFonts w:ascii="Arial" w:hAnsi="Arial" w:cs="Arial"/>
                <w:sz w:val="18"/>
                <w:szCs w:val="18"/>
              </w:rPr>
              <w:t>14 tahun</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68</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33,8</w:t>
            </w:r>
          </w:p>
        </w:tc>
      </w:tr>
      <w:tr w:rsidR="006B5E0A" w:rsidRPr="00BA3329" w:rsidTr="00BA3329">
        <w:trPr>
          <w:jc w:val="center"/>
        </w:trPr>
        <w:tc>
          <w:tcPr>
            <w:tcW w:w="4374" w:type="dxa"/>
            <w:shd w:val="clear" w:color="auto" w:fill="auto"/>
          </w:tcPr>
          <w:p w:rsidR="006B5E0A" w:rsidRPr="00BA3329" w:rsidRDefault="006B5E0A" w:rsidP="006B5E0A">
            <w:pPr>
              <w:numPr>
                <w:ilvl w:val="0"/>
                <w:numId w:val="35"/>
              </w:numPr>
              <w:suppressAutoHyphens w:val="0"/>
              <w:jc w:val="both"/>
              <w:rPr>
                <w:rFonts w:ascii="Arial" w:hAnsi="Arial" w:cs="Arial"/>
                <w:sz w:val="18"/>
                <w:szCs w:val="18"/>
              </w:rPr>
            </w:pPr>
            <w:r w:rsidRPr="00BA3329">
              <w:rPr>
                <w:rFonts w:ascii="Arial" w:hAnsi="Arial" w:cs="Arial"/>
                <w:sz w:val="18"/>
                <w:szCs w:val="18"/>
              </w:rPr>
              <w:t>15 tahun</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27</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rPr>
              <w:t>13,4</w:t>
            </w:r>
          </w:p>
        </w:tc>
      </w:tr>
      <w:tr w:rsidR="006B5E0A" w:rsidRPr="00BA3329" w:rsidTr="00BA3329">
        <w:trPr>
          <w:jc w:val="center"/>
        </w:trPr>
        <w:tc>
          <w:tcPr>
            <w:tcW w:w="4374" w:type="dxa"/>
            <w:shd w:val="clear" w:color="auto" w:fill="auto"/>
          </w:tcPr>
          <w:p w:rsidR="006B5E0A" w:rsidRPr="00BA3329" w:rsidRDefault="006B5E0A" w:rsidP="006B5E0A">
            <w:pPr>
              <w:numPr>
                <w:ilvl w:val="0"/>
                <w:numId w:val="35"/>
              </w:numPr>
              <w:suppressAutoHyphens w:val="0"/>
              <w:jc w:val="both"/>
              <w:rPr>
                <w:rFonts w:ascii="Arial" w:hAnsi="Arial" w:cs="Arial"/>
                <w:sz w:val="18"/>
                <w:szCs w:val="18"/>
              </w:rPr>
            </w:pPr>
            <w:r w:rsidRPr="00BA3329">
              <w:rPr>
                <w:rFonts w:ascii="Arial" w:hAnsi="Arial" w:cs="Arial"/>
                <w:sz w:val="18"/>
                <w:szCs w:val="18"/>
              </w:rPr>
              <w:t>16 tahun</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6</w:t>
            </w: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rPr>
            </w:pPr>
            <w:r w:rsidRPr="00BA3329">
              <w:rPr>
                <w:rFonts w:ascii="Arial" w:hAnsi="Arial" w:cs="Arial"/>
                <w:color w:val="000000"/>
                <w:sz w:val="18"/>
                <w:szCs w:val="18"/>
                <w:lang w:val="id-ID"/>
              </w:rPr>
              <w:t xml:space="preserve">  </w:t>
            </w:r>
            <w:r w:rsidRPr="00BA3329">
              <w:rPr>
                <w:rFonts w:ascii="Arial" w:hAnsi="Arial" w:cs="Arial"/>
                <w:color w:val="000000"/>
                <w:sz w:val="18"/>
                <w:szCs w:val="18"/>
              </w:rPr>
              <w:t>3,0</w:t>
            </w:r>
          </w:p>
        </w:tc>
      </w:tr>
      <w:tr w:rsidR="006B5E0A" w:rsidRPr="00BA3329" w:rsidTr="00BA3329">
        <w:trPr>
          <w:jc w:val="center"/>
        </w:trPr>
        <w:tc>
          <w:tcPr>
            <w:tcW w:w="4374" w:type="dxa"/>
            <w:shd w:val="clear" w:color="auto" w:fill="auto"/>
          </w:tcPr>
          <w:p w:rsidR="006B5E0A" w:rsidRPr="00BA3329" w:rsidRDefault="006B5E0A" w:rsidP="00024871">
            <w:pPr>
              <w:ind w:left="720"/>
              <w:jc w:val="both"/>
              <w:rPr>
                <w:rFonts w:ascii="Arial" w:hAnsi="Arial" w:cs="Arial"/>
                <w:sz w:val="18"/>
                <w:szCs w:val="18"/>
              </w:rPr>
            </w:pPr>
            <w:r w:rsidRPr="00BA3329">
              <w:rPr>
                <w:rFonts w:ascii="Arial" w:hAnsi="Arial" w:cs="Arial"/>
                <w:sz w:val="18"/>
                <w:szCs w:val="18"/>
              </w:rPr>
              <w:t>Mean Usia</w:t>
            </w:r>
          </w:p>
        </w:tc>
        <w:tc>
          <w:tcPr>
            <w:tcW w:w="2268" w:type="dxa"/>
            <w:gridSpan w:val="2"/>
            <w:shd w:val="clear" w:color="auto" w:fill="auto"/>
            <w:vAlign w:val="center"/>
          </w:tcPr>
          <w:p w:rsidR="006B5E0A" w:rsidRPr="00BA3329" w:rsidRDefault="006B5E0A" w:rsidP="00024871">
            <w:pPr>
              <w:autoSpaceDE w:val="0"/>
              <w:autoSpaceDN w:val="0"/>
              <w:adjustRightInd w:val="0"/>
              <w:jc w:val="center"/>
              <w:rPr>
                <w:rFonts w:ascii="Arial" w:hAnsi="Arial" w:cs="Arial"/>
                <w:color w:val="000000"/>
                <w:sz w:val="18"/>
                <w:szCs w:val="18"/>
              </w:rPr>
            </w:pPr>
            <w:r w:rsidRPr="00BA3329">
              <w:rPr>
                <w:rFonts w:ascii="Arial" w:hAnsi="Arial" w:cs="Arial"/>
                <w:color w:val="000000"/>
                <w:sz w:val="18"/>
                <w:szCs w:val="18"/>
              </w:rPr>
              <w:t>13,6</w:t>
            </w:r>
          </w:p>
        </w:tc>
      </w:tr>
      <w:tr w:rsidR="006B5E0A" w:rsidRPr="00BA3329" w:rsidTr="00BA3329">
        <w:trPr>
          <w:jc w:val="center"/>
        </w:trPr>
        <w:tc>
          <w:tcPr>
            <w:tcW w:w="4374" w:type="dxa"/>
            <w:shd w:val="clear" w:color="auto" w:fill="auto"/>
          </w:tcPr>
          <w:p w:rsidR="006B5E0A" w:rsidRPr="00BA3329" w:rsidRDefault="006B5E0A" w:rsidP="00024871">
            <w:pPr>
              <w:ind w:left="720"/>
              <w:jc w:val="both"/>
              <w:rPr>
                <w:rFonts w:ascii="Arial" w:hAnsi="Arial" w:cs="Arial"/>
                <w:sz w:val="18"/>
                <w:szCs w:val="18"/>
              </w:rPr>
            </w:pPr>
            <w:r w:rsidRPr="00BA3329">
              <w:rPr>
                <w:rFonts w:ascii="Arial" w:hAnsi="Arial" w:cs="Arial"/>
                <w:sz w:val="18"/>
                <w:szCs w:val="18"/>
              </w:rPr>
              <w:t>Median Usia</w:t>
            </w:r>
          </w:p>
        </w:tc>
        <w:tc>
          <w:tcPr>
            <w:tcW w:w="2268" w:type="dxa"/>
            <w:gridSpan w:val="2"/>
            <w:shd w:val="clear" w:color="auto" w:fill="auto"/>
            <w:vAlign w:val="center"/>
          </w:tcPr>
          <w:p w:rsidR="006B5E0A" w:rsidRPr="00BA3329" w:rsidRDefault="006B5E0A" w:rsidP="00024871">
            <w:pPr>
              <w:autoSpaceDE w:val="0"/>
              <w:autoSpaceDN w:val="0"/>
              <w:adjustRightInd w:val="0"/>
              <w:jc w:val="center"/>
              <w:rPr>
                <w:rFonts w:ascii="Arial" w:hAnsi="Arial" w:cs="Arial"/>
                <w:color w:val="000000"/>
                <w:sz w:val="18"/>
                <w:szCs w:val="18"/>
              </w:rPr>
            </w:pPr>
            <w:r w:rsidRPr="00BA3329">
              <w:rPr>
                <w:rFonts w:ascii="Arial" w:hAnsi="Arial" w:cs="Arial"/>
                <w:color w:val="000000"/>
                <w:sz w:val="18"/>
                <w:szCs w:val="18"/>
              </w:rPr>
              <w:t>14,0</w:t>
            </w:r>
          </w:p>
        </w:tc>
      </w:tr>
      <w:tr w:rsidR="006B5E0A" w:rsidRPr="00BA3329" w:rsidTr="00BA3329">
        <w:trPr>
          <w:jc w:val="center"/>
        </w:trPr>
        <w:tc>
          <w:tcPr>
            <w:tcW w:w="6642" w:type="dxa"/>
            <w:gridSpan w:val="3"/>
            <w:shd w:val="clear" w:color="auto" w:fill="auto"/>
            <w:vAlign w:val="center"/>
          </w:tcPr>
          <w:p w:rsidR="006B5E0A" w:rsidRPr="00BA3329" w:rsidRDefault="006B5E0A" w:rsidP="00024871">
            <w:pPr>
              <w:autoSpaceDE w:val="0"/>
              <w:autoSpaceDN w:val="0"/>
              <w:adjustRightInd w:val="0"/>
              <w:jc w:val="both"/>
              <w:rPr>
                <w:rFonts w:ascii="Arial" w:hAnsi="Arial" w:cs="Arial"/>
                <w:b/>
                <w:color w:val="000000"/>
                <w:sz w:val="18"/>
                <w:szCs w:val="18"/>
                <w:lang w:val="id-ID" w:eastAsia="id-ID"/>
              </w:rPr>
            </w:pPr>
            <w:r w:rsidRPr="00BA3329">
              <w:rPr>
                <w:rFonts w:ascii="Arial" w:hAnsi="Arial" w:cs="Arial"/>
                <w:b/>
                <w:sz w:val="18"/>
                <w:szCs w:val="18"/>
                <w:lang w:val="id-ID"/>
              </w:rPr>
              <w:t>Kadar hemoglobin (g/dl)</w:t>
            </w:r>
          </w:p>
        </w:tc>
      </w:tr>
      <w:tr w:rsidR="006B5E0A" w:rsidRPr="00BA3329" w:rsidTr="00BA3329">
        <w:trPr>
          <w:jc w:val="center"/>
        </w:trPr>
        <w:tc>
          <w:tcPr>
            <w:tcW w:w="4374" w:type="dxa"/>
            <w:shd w:val="clear" w:color="auto" w:fill="auto"/>
          </w:tcPr>
          <w:p w:rsidR="006B5E0A" w:rsidRPr="00BA3329" w:rsidRDefault="006B5E0A" w:rsidP="00024871">
            <w:pPr>
              <w:ind w:left="720"/>
              <w:jc w:val="both"/>
              <w:rPr>
                <w:rFonts w:ascii="Arial" w:hAnsi="Arial" w:cs="Arial"/>
                <w:sz w:val="18"/>
                <w:szCs w:val="18"/>
              </w:rPr>
            </w:pPr>
            <w:r w:rsidRPr="00BA3329">
              <w:rPr>
                <w:rFonts w:ascii="Arial" w:hAnsi="Arial" w:cs="Arial"/>
                <w:sz w:val="18"/>
                <w:szCs w:val="18"/>
                <w:lang w:val="id-ID"/>
              </w:rPr>
              <w:t>Min</w:t>
            </w:r>
          </w:p>
        </w:tc>
        <w:tc>
          <w:tcPr>
            <w:tcW w:w="2268" w:type="dxa"/>
            <w:gridSpan w:val="2"/>
            <w:shd w:val="clear" w:color="auto" w:fill="auto"/>
          </w:tcPr>
          <w:p w:rsidR="006B5E0A" w:rsidRPr="00BA3329" w:rsidRDefault="006B5E0A" w:rsidP="00024871">
            <w:pPr>
              <w:jc w:val="center"/>
              <w:rPr>
                <w:rFonts w:ascii="Arial" w:hAnsi="Arial" w:cs="Arial"/>
                <w:sz w:val="18"/>
                <w:szCs w:val="18"/>
                <w:lang w:val="id-ID"/>
              </w:rPr>
            </w:pPr>
            <w:r w:rsidRPr="00BA3329">
              <w:rPr>
                <w:rFonts w:ascii="Arial" w:hAnsi="Arial" w:cs="Arial"/>
                <w:sz w:val="18"/>
                <w:szCs w:val="18"/>
                <w:lang w:val="id-ID"/>
              </w:rPr>
              <w:t xml:space="preserve">  7,3</w:t>
            </w:r>
          </w:p>
        </w:tc>
      </w:tr>
      <w:tr w:rsidR="006B5E0A" w:rsidRPr="00BA3329" w:rsidTr="00BA3329">
        <w:trPr>
          <w:jc w:val="center"/>
        </w:trPr>
        <w:tc>
          <w:tcPr>
            <w:tcW w:w="4374" w:type="dxa"/>
            <w:shd w:val="clear" w:color="auto" w:fill="auto"/>
          </w:tcPr>
          <w:p w:rsidR="006B5E0A" w:rsidRPr="00BA3329" w:rsidRDefault="006B5E0A" w:rsidP="00024871">
            <w:pPr>
              <w:ind w:left="720"/>
              <w:jc w:val="both"/>
              <w:rPr>
                <w:rFonts w:ascii="Arial" w:hAnsi="Arial" w:cs="Arial"/>
                <w:sz w:val="18"/>
                <w:szCs w:val="18"/>
              </w:rPr>
            </w:pPr>
            <w:r w:rsidRPr="00BA3329">
              <w:rPr>
                <w:rFonts w:ascii="Arial" w:hAnsi="Arial" w:cs="Arial"/>
                <w:sz w:val="18"/>
                <w:szCs w:val="18"/>
                <w:lang w:val="id-ID"/>
              </w:rPr>
              <w:t>Max</w:t>
            </w:r>
          </w:p>
        </w:tc>
        <w:tc>
          <w:tcPr>
            <w:tcW w:w="2268" w:type="dxa"/>
            <w:gridSpan w:val="2"/>
            <w:shd w:val="clear" w:color="auto" w:fill="auto"/>
          </w:tcPr>
          <w:p w:rsidR="006B5E0A" w:rsidRPr="00BA3329" w:rsidRDefault="006B5E0A" w:rsidP="00024871">
            <w:pPr>
              <w:jc w:val="center"/>
              <w:rPr>
                <w:rFonts w:ascii="Arial" w:hAnsi="Arial" w:cs="Arial"/>
                <w:sz w:val="18"/>
                <w:szCs w:val="18"/>
                <w:lang w:val="id-ID"/>
              </w:rPr>
            </w:pPr>
            <w:r w:rsidRPr="00BA3329">
              <w:rPr>
                <w:rFonts w:ascii="Arial" w:hAnsi="Arial" w:cs="Arial"/>
                <w:sz w:val="18"/>
                <w:szCs w:val="18"/>
                <w:lang w:val="id-ID"/>
              </w:rPr>
              <w:t>15,4</w:t>
            </w:r>
          </w:p>
        </w:tc>
      </w:tr>
      <w:tr w:rsidR="006B5E0A" w:rsidRPr="00BA3329" w:rsidTr="00BA3329">
        <w:trPr>
          <w:jc w:val="center"/>
        </w:trPr>
        <w:tc>
          <w:tcPr>
            <w:tcW w:w="4374" w:type="dxa"/>
            <w:shd w:val="clear" w:color="auto" w:fill="auto"/>
          </w:tcPr>
          <w:p w:rsidR="006B5E0A" w:rsidRPr="00BA3329" w:rsidRDefault="006B5E0A" w:rsidP="00024871">
            <w:pPr>
              <w:ind w:left="720"/>
              <w:jc w:val="both"/>
              <w:rPr>
                <w:rFonts w:ascii="Arial" w:hAnsi="Arial" w:cs="Arial"/>
                <w:sz w:val="18"/>
                <w:szCs w:val="18"/>
              </w:rPr>
            </w:pPr>
            <w:r w:rsidRPr="00BA3329">
              <w:rPr>
                <w:rFonts w:ascii="Arial" w:hAnsi="Arial" w:cs="Arial"/>
                <w:sz w:val="18"/>
                <w:szCs w:val="18"/>
                <w:lang w:val="id-ID"/>
              </w:rPr>
              <w:t>Mean</w:t>
            </w:r>
          </w:p>
        </w:tc>
        <w:tc>
          <w:tcPr>
            <w:tcW w:w="2268" w:type="dxa"/>
            <w:gridSpan w:val="2"/>
            <w:shd w:val="clear" w:color="auto" w:fill="auto"/>
          </w:tcPr>
          <w:p w:rsidR="006B5E0A" w:rsidRPr="00BA3329" w:rsidRDefault="006B5E0A" w:rsidP="00024871">
            <w:pPr>
              <w:jc w:val="center"/>
              <w:rPr>
                <w:rFonts w:ascii="Arial" w:hAnsi="Arial" w:cs="Arial"/>
                <w:sz w:val="18"/>
                <w:szCs w:val="18"/>
                <w:lang w:val="id-ID"/>
              </w:rPr>
            </w:pPr>
            <w:r w:rsidRPr="00BA3329">
              <w:rPr>
                <w:rFonts w:ascii="Arial" w:hAnsi="Arial" w:cs="Arial"/>
                <w:sz w:val="18"/>
                <w:szCs w:val="18"/>
                <w:lang w:val="id-ID"/>
              </w:rPr>
              <w:t>13,11</w:t>
            </w:r>
          </w:p>
        </w:tc>
      </w:tr>
      <w:tr w:rsidR="006B5E0A" w:rsidRPr="00BA3329" w:rsidTr="00BA3329">
        <w:trPr>
          <w:jc w:val="center"/>
        </w:trPr>
        <w:tc>
          <w:tcPr>
            <w:tcW w:w="4374" w:type="dxa"/>
            <w:shd w:val="clear" w:color="auto" w:fill="auto"/>
          </w:tcPr>
          <w:p w:rsidR="006B5E0A" w:rsidRPr="00BA3329" w:rsidRDefault="006B5E0A" w:rsidP="00024871">
            <w:pPr>
              <w:ind w:left="720"/>
              <w:jc w:val="both"/>
              <w:rPr>
                <w:rFonts w:ascii="Arial" w:hAnsi="Arial" w:cs="Arial"/>
                <w:sz w:val="18"/>
                <w:szCs w:val="18"/>
              </w:rPr>
            </w:pPr>
            <w:r w:rsidRPr="00BA3329">
              <w:rPr>
                <w:rFonts w:ascii="Arial" w:hAnsi="Arial" w:cs="Arial"/>
                <w:sz w:val="18"/>
                <w:szCs w:val="18"/>
                <w:lang w:val="id-ID"/>
              </w:rPr>
              <w:t>SD</w:t>
            </w:r>
          </w:p>
        </w:tc>
        <w:tc>
          <w:tcPr>
            <w:tcW w:w="2268" w:type="dxa"/>
            <w:gridSpan w:val="2"/>
            <w:shd w:val="clear" w:color="auto" w:fill="auto"/>
          </w:tcPr>
          <w:p w:rsidR="006B5E0A" w:rsidRPr="00BA3329" w:rsidRDefault="006B5E0A" w:rsidP="00024871">
            <w:pPr>
              <w:jc w:val="center"/>
              <w:rPr>
                <w:rFonts w:ascii="Arial" w:hAnsi="Arial" w:cs="Arial"/>
                <w:sz w:val="18"/>
                <w:szCs w:val="18"/>
                <w:lang w:val="id-ID"/>
              </w:rPr>
            </w:pPr>
            <w:r w:rsidRPr="00BA3329">
              <w:rPr>
                <w:rFonts w:ascii="Arial" w:hAnsi="Arial" w:cs="Arial"/>
                <w:sz w:val="18"/>
                <w:szCs w:val="18"/>
                <w:lang w:val="id-ID"/>
              </w:rPr>
              <w:t>±1,11</w:t>
            </w:r>
          </w:p>
        </w:tc>
      </w:tr>
      <w:tr w:rsidR="006B5E0A" w:rsidRPr="00BA3329" w:rsidTr="00BA3329">
        <w:trPr>
          <w:jc w:val="center"/>
        </w:trPr>
        <w:tc>
          <w:tcPr>
            <w:tcW w:w="6642" w:type="dxa"/>
            <w:gridSpan w:val="3"/>
            <w:shd w:val="clear" w:color="auto" w:fill="auto"/>
          </w:tcPr>
          <w:p w:rsidR="006B5E0A" w:rsidRPr="00BA3329" w:rsidRDefault="006B5E0A" w:rsidP="00024871">
            <w:pPr>
              <w:autoSpaceDE w:val="0"/>
              <w:autoSpaceDN w:val="0"/>
              <w:adjustRightInd w:val="0"/>
              <w:jc w:val="both"/>
              <w:rPr>
                <w:rFonts w:ascii="Arial" w:hAnsi="Arial" w:cs="Arial"/>
                <w:b/>
                <w:sz w:val="18"/>
                <w:szCs w:val="18"/>
                <w:lang w:val="id-ID"/>
              </w:rPr>
            </w:pPr>
            <w:r w:rsidRPr="00BA3329">
              <w:rPr>
                <w:rFonts w:ascii="Arial" w:hAnsi="Arial" w:cs="Arial"/>
                <w:b/>
                <w:sz w:val="18"/>
                <w:szCs w:val="18"/>
                <w:lang w:val="id-ID"/>
              </w:rPr>
              <w:t>Status gizi berdasarkan IMT/U anak umur 5–18 tahun</w:t>
            </w:r>
            <w:r w:rsidRPr="00BA3329">
              <w:rPr>
                <w:rFonts w:ascii="Arial" w:hAnsi="Arial" w:cs="Arial"/>
                <w:b/>
                <w:sz w:val="18"/>
                <w:szCs w:val="18"/>
              </w:rPr>
              <w:t xml:space="preserve"> </w:t>
            </w:r>
          </w:p>
          <w:p w:rsidR="006B5E0A" w:rsidRPr="00BA3329" w:rsidRDefault="006B5E0A" w:rsidP="00024871">
            <w:pPr>
              <w:autoSpaceDE w:val="0"/>
              <w:autoSpaceDN w:val="0"/>
              <w:adjustRightInd w:val="0"/>
              <w:jc w:val="both"/>
              <w:rPr>
                <w:rFonts w:ascii="Arial" w:hAnsi="Arial" w:cs="Arial"/>
                <w:b/>
                <w:color w:val="000000"/>
                <w:sz w:val="18"/>
                <w:szCs w:val="18"/>
                <w:lang w:val="id-ID" w:eastAsia="id-ID"/>
              </w:rPr>
            </w:pPr>
            <w:r w:rsidRPr="00BA3329">
              <w:rPr>
                <w:rFonts w:ascii="Arial" w:hAnsi="Arial" w:cs="Arial"/>
                <w:b/>
                <w:sz w:val="18"/>
                <w:szCs w:val="18"/>
              </w:rPr>
              <w:t>(</w:t>
            </w:r>
            <w:r w:rsidRPr="00BA3329">
              <w:rPr>
                <w:rFonts w:ascii="Arial" w:hAnsi="Arial" w:cs="Arial"/>
                <w:b/>
                <w:sz w:val="18"/>
                <w:szCs w:val="18"/>
                <w:lang w:val="id-ID"/>
              </w:rPr>
              <w:t>Kemenkes RI 2011 No. 1995/MENKES/SK/XII/2010)</w:t>
            </w:r>
          </w:p>
        </w:tc>
      </w:tr>
      <w:tr w:rsidR="006B5E0A" w:rsidRPr="00BA3329" w:rsidTr="00BA3329">
        <w:trPr>
          <w:jc w:val="center"/>
        </w:trPr>
        <w:tc>
          <w:tcPr>
            <w:tcW w:w="4374" w:type="dxa"/>
            <w:shd w:val="clear" w:color="auto" w:fill="auto"/>
          </w:tcPr>
          <w:p w:rsidR="006B5E0A" w:rsidRPr="00BA3329" w:rsidRDefault="006B5E0A" w:rsidP="006B5E0A">
            <w:pPr>
              <w:numPr>
                <w:ilvl w:val="0"/>
                <w:numId w:val="36"/>
              </w:numPr>
              <w:suppressAutoHyphens w:val="0"/>
              <w:jc w:val="both"/>
              <w:rPr>
                <w:rFonts w:ascii="Arial" w:hAnsi="Arial" w:cs="Arial"/>
                <w:sz w:val="18"/>
                <w:szCs w:val="18"/>
                <w:lang w:val="id-ID"/>
              </w:rPr>
            </w:pPr>
            <w:r w:rsidRPr="00BA3329">
              <w:rPr>
                <w:rFonts w:ascii="Arial" w:hAnsi="Arial" w:cs="Arial"/>
                <w:sz w:val="18"/>
                <w:szCs w:val="18"/>
                <w:lang w:val="id-ID"/>
              </w:rPr>
              <w:t>Sangat kurus (&lt; -3 SD)</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8</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4,0</w:t>
            </w:r>
          </w:p>
        </w:tc>
      </w:tr>
      <w:tr w:rsidR="006B5E0A" w:rsidRPr="00BA3329" w:rsidTr="00BA3329">
        <w:trPr>
          <w:jc w:val="center"/>
        </w:trPr>
        <w:tc>
          <w:tcPr>
            <w:tcW w:w="4374" w:type="dxa"/>
            <w:shd w:val="clear" w:color="auto" w:fill="auto"/>
          </w:tcPr>
          <w:p w:rsidR="006B5E0A" w:rsidRPr="00BA3329" w:rsidRDefault="006B5E0A" w:rsidP="006B5E0A">
            <w:pPr>
              <w:numPr>
                <w:ilvl w:val="0"/>
                <w:numId w:val="36"/>
              </w:numPr>
              <w:suppressAutoHyphens w:val="0"/>
              <w:jc w:val="both"/>
              <w:rPr>
                <w:rFonts w:ascii="Arial" w:hAnsi="Arial" w:cs="Arial"/>
                <w:sz w:val="18"/>
                <w:szCs w:val="18"/>
                <w:lang w:val="id-ID"/>
              </w:rPr>
            </w:pPr>
            <w:r w:rsidRPr="00BA3329">
              <w:rPr>
                <w:rFonts w:ascii="Arial" w:hAnsi="Arial" w:cs="Arial"/>
                <w:sz w:val="18"/>
                <w:szCs w:val="18"/>
                <w:lang w:val="id-ID"/>
              </w:rPr>
              <w:t>Kurus  (-3 SD s.d &lt;-2 SD)</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27</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13,4</w:t>
            </w:r>
          </w:p>
        </w:tc>
      </w:tr>
      <w:tr w:rsidR="006B5E0A" w:rsidRPr="00BA3329" w:rsidTr="00BA3329">
        <w:trPr>
          <w:jc w:val="center"/>
        </w:trPr>
        <w:tc>
          <w:tcPr>
            <w:tcW w:w="4374" w:type="dxa"/>
            <w:shd w:val="clear" w:color="auto" w:fill="auto"/>
          </w:tcPr>
          <w:p w:rsidR="006B5E0A" w:rsidRPr="00BA3329" w:rsidRDefault="006B5E0A" w:rsidP="006B5E0A">
            <w:pPr>
              <w:numPr>
                <w:ilvl w:val="0"/>
                <w:numId w:val="36"/>
              </w:numPr>
              <w:suppressAutoHyphens w:val="0"/>
              <w:jc w:val="both"/>
              <w:rPr>
                <w:rFonts w:ascii="Arial" w:hAnsi="Arial" w:cs="Arial"/>
                <w:sz w:val="18"/>
                <w:szCs w:val="18"/>
                <w:lang w:val="id-ID"/>
              </w:rPr>
            </w:pPr>
            <w:r w:rsidRPr="00BA3329">
              <w:rPr>
                <w:rFonts w:ascii="Arial" w:hAnsi="Arial" w:cs="Arial"/>
                <w:sz w:val="18"/>
                <w:szCs w:val="18"/>
                <w:lang w:val="id-ID"/>
              </w:rPr>
              <w:t>Normal (-2 SD s.d 1 SD)</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156</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77,6</w:t>
            </w:r>
          </w:p>
        </w:tc>
      </w:tr>
      <w:tr w:rsidR="006B5E0A" w:rsidRPr="00BA3329" w:rsidTr="00BA3329">
        <w:trPr>
          <w:jc w:val="center"/>
        </w:trPr>
        <w:tc>
          <w:tcPr>
            <w:tcW w:w="4374" w:type="dxa"/>
            <w:shd w:val="clear" w:color="auto" w:fill="auto"/>
          </w:tcPr>
          <w:p w:rsidR="006B5E0A" w:rsidRPr="00BA3329" w:rsidRDefault="006B5E0A" w:rsidP="006B5E0A">
            <w:pPr>
              <w:numPr>
                <w:ilvl w:val="0"/>
                <w:numId w:val="36"/>
              </w:numPr>
              <w:suppressAutoHyphens w:val="0"/>
              <w:jc w:val="both"/>
              <w:rPr>
                <w:rFonts w:ascii="Arial" w:hAnsi="Arial" w:cs="Arial"/>
                <w:sz w:val="18"/>
                <w:szCs w:val="18"/>
              </w:rPr>
            </w:pPr>
            <w:r w:rsidRPr="00BA3329">
              <w:rPr>
                <w:rFonts w:ascii="Arial" w:hAnsi="Arial" w:cs="Arial"/>
                <w:sz w:val="18"/>
                <w:szCs w:val="18"/>
                <w:lang w:val="id-ID"/>
              </w:rPr>
              <w:t>Gemuk (&gt;1 SD s.d 2 SD)</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7</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3,5</w:t>
            </w:r>
          </w:p>
        </w:tc>
      </w:tr>
      <w:tr w:rsidR="006B5E0A" w:rsidRPr="00BA3329" w:rsidTr="00BA3329">
        <w:trPr>
          <w:jc w:val="center"/>
        </w:trPr>
        <w:tc>
          <w:tcPr>
            <w:tcW w:w="4374" w:type="dxa"/>
            <w:shd w:val="clear" w:color="auto" w:fill="auto"/>
          </w:tcPr>
          <w:p w:rsidR="006B5E0A" w:rsidRPr="00BA3329" w:rsidRDefault="006B5E0A" w:rsidP="006B5E0A">
            <w:pPr>
              <w:numPr>
                <w:ilvl w:val="0"/>
                <w:numId w:val="36"/>
              </w:numPr>
              <w:suppressAutoHyphens w:val="0"/>
              <w:jc w:val="both"/>
              <w:rPr>
                <w:rFonts w:ascii="Arial" w:hAnsi="Arial" w:cs="Arial"/>
                <w:sz w:val="18"/>
                <w:szCs w:val="18"/>
              </w:rPr>
            </w:pPr>
            <w:r w:rsidRPr="00BA3329">
              <w:rPr>
                <w:rFonts w:ascii="Arial" w:hAnsi="Arial" w:cs="Arial"/>
                <w:sz w:val="18"/>
                <w:szCs w:val="18"/>
                <w:lang w:val="id-ID"/>
              </w:rPr>
              <w:t>Obesitas (&gt;2 SD)</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3</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val="id-ID" w:eastAsia="id-ID"/>
              </w:rPr>
            </w:pPr>
            <w:r w:rsidRPr="00BA3329">
              <w:rPr>
                <w:rFonts w:ascii="Arial" w:hAnsi="Arial" w:cs="Arial"/>
                <w:color w:val="000000"/>
                <w:sz w:val="18"/>
                <w:szCs w:val="18"/>
                <w:lang w:val="id-ID" w:eastAsia="id-ID"/>
              </w:rPr>
              <w:t xml:space="preserve">  1,5</w:t>
            </w:r>
          </w:p>
        </w:tc>
      </w:tr>
      <w:tr w:rsidR="006B5E0A" w:rsidRPr="00BA3329" w:rsidTr="00BA3329">
        <w:trPr>
          <w:jc w:val="center"/>
        </w:trPr>
        <w:tc>
          <w:tcPr>
            <w:tcW w:w="4374" w:type="dxa"/>
            <w:shd w:val="clear" w:color="auto" w:fill="auto"/>
            <w:vAlign w:val="center"/>
          </w:tcPr>
          <w:p w:rsidR="006B5E0A" w:rsidRPr="00BA3329" w:rsidRDefault="006B5E0A" w:rsidP="00024871">
            <w:pPr>
              <w:autoSpaceDE w:val="0"/>
              <w:autoSpaceDN w:val="0"/>
              <w:adjustRightInd w:val="0"/>
              <w:jc w:val="both"/>
              <w:rPr>
                <w:rFonts w:ascii="Arial" w:hAnsi="Arial" w:cs="Arial"/>
                <w:b/>
                <w:color w:val="000000"/>
                <w:sz w:val="18"/>
                <w:szCs w:val="18"/>
                <w:lang w:val="id-ID" w:eastAsia="id-ID"/>
              </w:rPr>
            </w:pPr>
            <w:r w:rsidRPr="00BA3329">
              <w:rPr>
                <w:rFonts w:ascii="Arial" w:hAnsi="Arial" w:cs="Arial"/>
                <w:b/>
                <w:sz w:val="18"/>
                <w:szCs w:val="18"/>
                <w:lang w:val="id-ID"/>
              </w:rPr>
              <w:t>Pendapatan orang tua</w:t>
            </w:r>
          </w:p>
        </w:tc>
        <w:tc>
          <w:tcPr>
            <w:tcW w:w="1320"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lang w:val="id-ID" w:eastAsia="id-ID"/>
              </w:rPr>
            </w:pPr>
          </w:p>
        </w:tc>
        <w:tc>
          <w:tcPr>
            <w:tcW w:w="948" w:type="dxa"/>
            <w:shd w:val="clear" w:color="auto" w:fill="auto"/>
            <w:vAlign w:val="center"/>
          </w:tcPr>
          <w:p w:rsidR="006B5E0A" w:rsidRPr="00BA3329" w:rsidRDefault="006B5E0A" w:rsidP="00024871">
            <w:pPr>
              <w:autoSpaceDE w:val="0"/>
              <w:autoSpaceDN w:val="0"/>
              <w:adjustRightInd w:val="0"/>
              <w:jc w:val="both"/>
              <w:rPr>
                <w:rFonts w:ascii="Arial" w:hAnsi="Arial" w:cs="Arial"/>
                <w:color w:val="000000"/>
                <w:sz w:val="18"/>
                <w:szCs w:val="18"/>
                <w:lang w:val="id-ID" w:eastAsia="id-ID"/>
              </w:rPr>
            </w:pPr>
          </w:p>
        </w:tc>
      </w:tr>
      <w:tr w:rsidR="006B5E0A" w:rsidRPr="00BA3329" w:rsidTr="00BA3329">
        <w:trPr>
          <w:jc w:val="center"/>
        </w:trPr>
        <w:tc>
          <w:tcPr>
            <w:tcW w:w="4374" w:type="dxa"/>
            <w:shd w:val="clear" w:color="auto" w:fill="auto"/>
          </w:tcPr>
          <w:p w:rsidR="006B5E0A" w:rsidRPr="00BA3329" w:rsidRDefault="006B5E0A" w:rsidP="006B5E0A">
            <w:pPr>
              <w:numPr>
                <w:ilvl w:val="0"/>
                <w:numId w:val="37"/>
              </w:numPr>
              <w:suppressAutoHyphens w:val="0"/>
              <w:jc w:val="both"/>
              <w:rPr>
                <w:rFonts w:ascii="Arial" w:hAnsi="Arial" w:cs="Arial"/>
                <w:sz w:val="18"/>
                <w:szCs w:val="18"/>
                <w:lang w:val="id-ID"/>
              </w:rPr>
            </w:pPr>
            <w:r w:rsidRPr="00BA3329">
              <w:rPr>
                <w:rFonts w:ascii="Arial" w:hAnsi="Arial" w:cs="Arial"/>
                <w:sz w:val="18"/>
                <w:szCs w:val="18"/>
                <w:lang w:val="id-ID"/>
              </w:rPr>
              <w:t>&lt; Rp, 1 Juta</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eastAsia="id-ID"/>
              </w:rPr>
            </w:pPr>
            <w:r w:rsidRPr="00BA3329">
              <w:rPr>
                <w:rFonts w:ascii="Arial" w:hAnsi="Arial" w:cs="Arial"/>
                <w:color w:val="000000"/>
                <w:sz w:val="18"/>
                <w:szCs w:val="18"/>
                <w:lang w:eastAsia="id-ID"/>
              </w:rPr>
              <w:t>151</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eastAsia="id-ID"/>
              </w:rPr>
            </w:pPr>
            <w:r w:rsidRPr="00BA3329">
              <w:rPr>
                <w:rFonts w:ascii="Arial" w:hAnsi="Arial" w:cs="Arial"/>
                <w:color w:val="000000"/>
                <w:sz w:val="18"/>
                <w:szCs w:val="18"/>
                <w:lang w:eastAsia="id-ID"/>
              </w:rPr>
              <w:t>75,1</w:t>
            </w:r>
          </w:p>
        </w:tc>
      </w:tr>
      <w:tr w:rsidR="006B5E0A" w:rsidRPr="00BA3329" w:rsidTr="00BA3329">
        <w:trPr>
          <w:jc w:val="center"/>
        </w:trPr>
        <w:tc>
          <w:tcPr>
            <w:tcW w:w="4374" w:type="dxa"/>
            <w:shd w:val="clear" w:color="auto" w:fill="auto"/>
          </w:tcPr>
          <w:p w:rsidR="006B5E0A" w:rsidRPr="00BA3329" w:rsidRDefault="006B5E0A" w:rsidP="006B5E0A">
            <w:pPr>
              <w:numPr>
                <w:ilvl w:val="0"/>
                <w:numId w:val="37"/>
              </w:numPr>
              <w:suppressAutoHyphens w:val="0"/>
              <w:jc w:val="both"/>
              <w:rPr>
                <w:rFonts w:ascii="Arial" w:hAnsi="Arial" w:cs="Arial"/>
                <w:sz w:val="18"/>
                <w:szCs w:val="18"/>
                <w:lang w:val="id-ID"/>
              </w:rPr>
            </w:pPr>
            <w:r w:rsidRPr="00BA3329">
              <w:rPr>
                <w:rFonts w:ascii="Arial" w:hAnsi="Arial" w:cs="Arial"/>
                <w:sz w:val="18"/>
                <w:szCs w:val="18"/>
                <w:lang w:val="id-ID"/>
              </w:rPr>
              <w:t>≥ Rp. 1 Juta</w:t>
            </w:r>
          </w:p>
        </w:tc>
        <w:tc>
          <w:tcPr>
            <w:tcW w:w="1320"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eastAsia="id-ID"/>
              </w:rPr>
            </w:pPr>
            <w:r w:rsidRPr="00BA3329">
              <w:rPr>
                <w:rFonts w:ascii="Arial" w:hAnsi="Arial" w:cs="Arial"/>
                <w:color w:val="000000"/>
                <w:sz w:val="18"/>
                <w:szCs w:val="18"/>
                <w:lang w:val="id-ID" w:eastAsia="id-ID"/>
              </w:rPr>
              <w:t xml:space="preserve">  </w:t>
            </w:r>
            <w:r w:rsidRPr="00BA3329">
              <w:rPr>
                <w:rFonts w:ascii="Arial" w:hAnsi="Arial" w:cs="Arial"/>
                <w:color w:val="000000"/>
                <w:sz w:val="18"/>
                <w:szCs w:val="18"/>
                <w:lang w:eastAsia="id-ID"/>
              </w:rPr>
              <w:t>50</w:t>
            </w:r>
          </w:p>
        </w:tc>
        <w:tc>
          <w:tcPr>
            <w:tcW w:w="948" w:type="dxa"/>
            <w:shd w:val="clear" w:color="auto" w:fill="auto"/>
            <w:vAlign w:val="center"/>
          </w:tcPr>
          <w:p w:rsidR="006B5E0A" w:rsidRPr="00BA3329" w:rsidRDefault="006B5E0A" w:rsidP="00024871">
            <w:pPr>
              <w:autoSpaceDE w:val="0"/>
              <w:autoSpaceDN w:val="0"/>
              <w:adjustRightInd w:val="0"/>
              <w:rPr>
                <w:rFonts w:ascii="Arial" w:hAnsi="Arial" w:cs="Arial"/>
                <w:color w:val="000000"/>
                <w:sz w:val="18"/>
                <w:szCs w:val="18"/>
                <w:lang w:eastAsia="id-ID"/>
              </w:rPr>
            </w:pPr>
            <w:r w:rsidRPr="00BA3329">
              <w:rPr>
                <w:rFonts w:ascii="Arial" w:hAnsi="Arial" w:cs="Arial"/>
                <w:color w:val="000000"/>
                <w:sz w:val="18"/>
                <w:szCs w:val="18"/>
                <w:lang w:eastAsia="id-ID"/>
              </w:rPr>
              <w:t>24,9</w:t>
            </w:r>
          </w:p>
        </w:tc>
      </w:tr>
    </w:tbl>
    <w:p w:rsidR="006B5E0A" w:rsidRDefault="006B5E0A" w:rsidP="00CF7EDF">
      <w:pPr>
        <w:spacing w:line="360" w:lineRule="auto"/>
        <w:jc w:val="both"/>
        <w:rPr>
          <w:rFonts w:ascii="Arial" w:hAnsi="Arial" w:cs="Arial"/>
          <w:b/>
          <w:sz w:val="20"/>
          <w:szCs w:val="20"/>
          <w:lang w:val="id-ID"/>
        </w:rPr>
        <w:sectPr w:rsidR="006B5E0A" w:rsidSect="00BA3329">
          <w:type w:val="continuous"/>
          <w:pgSz w:w="11907" w:h="16839" w:code="9"/>
          <w:pgMar w:top="2275" w:right="1699" w:bottom="1699" w:left="2275" w:header="720" w:footer="720" w:gutter="0"/>
          <w:cols w:space="720"/>
          <w:titlePg/>
          <w:docGrid w:linePitch="360"/>
        </w:sectPr>
      </w:pPr>
    </w:p>
    <w:p w:rsidR="00BA3329" w:rsidRDefault="00BA3329" w:rsidP="00CF7EDF">
      <w:pPr>
        <w:spacing w:line="360" w:lineRule="auto"/>
        <w:jc w:val="both"/>
        <w:rPr>
          <w:rFonts w:ascii="Arial" w:hAnsi="Arial" w:cs="Arial"/>
          <w:b/>
          <w:sz w:val="20"/>
          <w:szCs w:val="20"/>
          <w:lang w:val="id-ID"/>
        </w:rPr>
        <w:sectPr w:rsidR="00BA3329" w:rsidSect="006B5E0A">
          <w:type w:val="continuous"/>
          <w:pgSz w:w="11907" w:h="16839" w:code="9"/>
          <w:pgMar w:top="2275" w:right="1699" w:bottom="1699" w:left="2275" w:header="720" w:footer="720" w:gutter="0"/>
          <w:cols w:num="2" w:space="720"/>
          <w:titlePg/>
          <w:docGrid w:linePitch="360"/>
        </w:sectPr>
      </w:pPr>
    </w:p>
    <w:p w:rsidR="00BA3329" w:rsidRPr="00BA3329" w:rsidRDefault="00BA3329" w:rsidP="00BA3329">
      <w:pPr>
        <w:spacing w:line="360" w:lineRule="auto"/>
        <w:jc w:val="both"/>
        <w:rPr>
          <w:rFonts w:ascii="Arial" w:hAnsi="Arial" w:cs="Arial"/>
          <w:b/>
          <w:sz w:val="20"/>
          <w:szCs w:val="20"/>
          <w:lang w:val="id-ID"/>
        </w:rPr>
      </w:pPr>
      <w:r w:rsidRPr="00BA3329">
        <w:rPr>
          <w:rFonts w:ascii="Arial" w:hAnsi="Arial" w:cs="Arial"/>
          <w:b/>
          <w:sz w:val="20"/>
          <w:szCs w:val="20"/>
          <w:lang w:val="id-ID"/>
        </w:rPr>
        <w:lastRenderedPageBreak/>
        <w:t>Kejadian Anemia Pada Responden</w:t>
      </w:r>
    </w:p>
    <w:p w:rsidR="00A9662E" w:rsidRDefault="00BA3329" w:rsidP="00DB6936">
      <w:pPr>
        <w:autoSpaceDE w:val="0"/>
        <w:autoSpaceDN w:val="0"/>
        <w:adjustRightInd w:val="0"/>
        <w:spacing w:line="360" w:lineRule="auto"/>
        <w:ind w:firstLine="425"/>
        <w:jc w:val="both"/>
        <w:rPr>
          <w:rFonts w:ascii="Arial" w:hAnsi="Arial" w:cs="Arial"/>
          <w:sz w:val="20"/>
          <w:szCs w:val="20"/>
          <w:lang w:val="id-ID"/>
        </w:rPr>
      </w:pPr>
      <w:r w:rsidRPr="00BA3329">
        <w:rPr>
          <w:rFonts w:ascii="Arial" w:hAnsi="Arial" w:cs="Arial"/>
          <w:sz w:val="20"/>
          <w:szCs w:val="20"/>
          <w:lang w:val="id-ID"/>
        </w:rPr>
        <w:t>Kada</w:t>
      </w:r>
      <w:r w:rsidR="00FE4AA3">
        <w:rPr>
          <w:rFonts w:ascii="Arial" w:hAnsi="Arial" w:cs="Arial"/>
          <w:sz w:val="20"/>
          <w:szCs w:val="20"/>
          <w:lang w:val="id-ID"/>
        </w:rPr>
        <w:t>r hemoglobin dari 201 responden</w:t>
      </w:r>
      <w:r w:rsidRPr="00BA3329">
        <w:rPr>
          <w:rFonts w:ascii="Arial" w:hAnsi="Arial" w:cs="Arial"/>
          <w:sz w:val="20"/>
          <w:szCs w:val="20"/>
          <w:lang w:val="id-ID"/>
        </w:rPr>
        <w:t xml:space="preserve"> diperoleh rata-rata 13,11 gr/dl dengan ± 1,11 standar deviasi. Berdasarkan data tersebut dapat dikatakan bahwa batasan normal kadar Hb siswa SMP di darah pantai Ke</w:t>
      </w:r>
      <w:r w:rsidR="00FE4AA3">
        <w:rPr>
          <w:rFonts w:ascii="Arial" w:hAnsi="Arial" w:cs="Arial"/>
          <w:sz w:val="20"/>
          <w:szCs w:val="20"/>
          <w:lang w:val="id-ID"/>
        </w:rPr>
        <w:t>camatan Tanjung dengan patokan     -</w:t>
      </w:r>
      <w:r w:rsidRPr="00BA3329">
        <w:rPr>
          <w:rFonts w:ascii="Arial" w:hAnsi="Arial" w:cs="Arial"/>
          <w:sz w:val="20"/>
          <w:szCs w:val="20"/>
          <w:lang w:val="id-ID"/>
        </w:rPr>
        <w:t>1</w:t>
      </w:r>
      <w:r w:rsidR="00FE4AA3">
        <w:rPr>
          <w:rFonts w:ascii="Arial" w:hAnsi="Arial" w:cs="Arial"/>
          <w:sz w:val="20"/>
          <w:szCs w:val="20"/>
          <w:lang w:val="id-ID"/>
        </w:rPr>
        <w:t xml:space="preserve"> </w:t>
      </w:r>
      <w:r w:rsidRPr="00BA3329">
        <w:rPr>
          <w:rFonts w:ascii="Arial" w:hAnsi="Arial" w:cs="Arial"/>
          <w:sz w:val="20"/>
          <w:szCs w:val="20"/>
          <w:lang w:val="id-ID"/>
        </w:rPr>
        <w:t>SD adalah 12,00</w:t>
      </w:r>
      <w:r w:rsidRPr="00BA3329">
        <w:rPr>
          <w:rFonts w:ascii="Arial" w:hAnsi="Arial" w:cs="Arial"/>
          <w:sz w:val="20"/>
          <w:szCs w:val="20"/>
        </w:rPr>
        <w:t xml:space="preserve"> g/dl</w:t>
      </w:r>
      <w:r w:rsidRPr="00BA3329">
        <w:rPr>
          <w:rFonts w:ascii="Arial" w:hAnsi="Arial" w:cs="Arial"/>
          <w:sz w:val="20"/>
          <w:szCs w:val="20"/>
          <w:lang w:val="id-ID"/>
        </w:rPr>
        <w:t>. Berdasarkan batas normal (</w:t>
      </w:r>
      <w:r w:rsidRPr="00BA3329">
        <w:rPr>
          <w:rFonts w:ascii="Arial" w:hAnsi="Arial" w:cs="Arial"/>
          <w:i/>
          <w:sz w:val="20"/>
          <w:szCs w:val="20"/>
          <w:lang w:val="id-ID"/>
        </w:rPr>
        <w:t>cut off point</w:t>
      </w:r>
      <w:r w:rsidRPr="00BA3329">
        <w:rPr>
          <w:rFonts w:ascii="Arial" w:hAnsi="Arial" w:cs="Arial"/>
          <w:sz w:val="20"/>
          <w:szCs w:val="20"/>
          <w:lang w:val="id-ID"/>
        </w:rPr>
        <w:t>) kadar Hb tersebut, dapat diklasifikasikan bahwa anak dengan kadar Hb &lt;12,00</w:t>
      </w:r>
      <w:r w:rsidRPr="00BA3329">
        <w:rPr>
          <w:rFonts w:ascii="Arial" w:hAnsi="Arial" w:cs="Arial"/>
          <w:sz w:val="20"/>
          <w:szCs w:val="20"/>
        </w:rPr>
        <w:t xml:space="preserve"> g/dl</w:t>
      </w:r>
      <w:r w:rsidRPr="00BA3329">
        <w:rPr>
          <w:rFonts w:ascii="Arial" w:hAnsi="Arial" w:cs="Arial"/>
          <w:sz w:val="20"/>
          <w:szCs w:val="20"/>
          <w:lang w:val="id-ID"/>
        </w:rPr>
        <w:t xml:space="preserve"> mengalami anemia, dan anak dengan kadar Hb ≥12,00</w:t>
      </w:r>
      <w:r w:rsidRPr="00BA3329">
        <w:rPr>
          <w:rFonts w:ascii="Arial" w:hAnsi="Arial" w:cs="Arial"/>
          <w:sz w:val="20"/>
          <w:szCs w:val="20"/>
        </w:rPr>
        <w:t xml:space="preserve"> g/dl</w:t>
      </w:r>
      <w:r w:rsidRPr="00BA3329">
        <w:rPr>
          <w:rFonts w:ascii="Arial" w:hAnsi="Arial" w:cs="Arial"/>
          <w:sz w:val="20"/>
          <w:szCs w:val="20"/>
          <w:lang w:val="id-ID"/>
        </w:rPr>
        <w:t xml:space="preserve"> tidak mengalami anemia. Jumlah dan persentase angka kejadian anemia pada resp</w:t>
      </w:r>
      <w:r>
        <w:rPr>
          <w:rFonts w:ascii="Arial" w:hAnsi="Arial" w:cs="Arial"/>
          <w:sz w:val="20"/>
          <w:szCs w:val="20"/>
          <w:lang w:val="id-ID"/>
        </w:rPr>
        <w:t>onden dapat dilihat pada tabel 3 berikut</w:t>
      </w:r>
      <w:r w:rsidRPr="00BA3329">
        <w:rPr>
          <w:rFonts w:ascii="Arial" w:hAnsi="Arial" w:cs="Arial"/>
          <w:sz w:val="20"/>
          <w:szCs w:val="20"/>
          <w:lang w:val="id-ID"/>
        </w:rPr>
        <w:t xml:space="preserve">: </w:t>
      </w:r>
    </w:p>
    <w:p w:rsidR="00DB6936" w:rsidRDefault="00DB6936" w:rsidP="00DB6936">
      <w:pPr>
        <w:autoSpaceDE w:val="0"/>
        <w:autoSpaceDN w:val="0"/>
        <w:adjustRightInd w:val="0"/>
        <w:spacing w:line="360" w:lineRule="auto"/>
        <w:ind w:firstLine="425"/>
        <w:jc w:val="both"/>
        <w:rPr>
          <w:rFonts w:ascii="Arial" w:hAnsi="Arial" w:cs="Arial"/>
          <w:sz w:val="20"/>
          <w:szCs w:val="20"/>
          <w:lang w:val="id-ID"/>
        </w:rPr>
      </w:pPr>
    </w:p>
    <w:p w:rsidR="00DB6936" w:rsidRDefault="00DB6936" w:rsidP="00DB6936">
      <w:pPr>
        <w:autoSpaceDE w:val="0"/>
        <w:autoSpaceDN w:val="0"/>
        <w:adjustRightInd w:val="0"/>
        <w:spacing w:line="360" w:lineRule="auto"/>
        <w:ind w:firstLine="425"/>
        <w:jc w:val="both"/>
        <w:rPr>
          <w:rFonts w:ascii="Arial" w:hAnsi="Arial" w:cs="Arial"/>
          <w:sz w:val="20"/>
          <w:szCs w:val="20"/>
          <w:lang w:val="id-ID"/>
        </w:rPr>
      </w:pPr>
    </w:p>
    <w:p w:rsidR="00DB6936" w:rsidRPr="00DB6936" w:rsidRDefault="00DB6936" w:rsidP="00DB6936">
      <w:pPr>
        <w:autoSpaceDE w:val="0"/>
        <w:autoSpaceDN w:val="0"/>
        <w:adjustRightInd w:val="0"/>
        <w:jc w:val="center"/>
        <w:rPr>
          <w:rFonts w:ascii="Arial" w:hAnsi="Arial" w:cs="Arial"/>
          <w:b/>
          <w:sz w:val="20"/>
          <w:szCs w:val="20"/>
          <w:lang w:val="id-ID"/>
        </w:rPr>
      </w:pPr>
      <w:r w:rsidRPr="00DB6936">
        <w:rPr>
          <w:rFonts w:ascii="Arial" w:hAnsi="Arial" w:cs="Arial"/>
          <w:b/>
          <w:sz w:val="20"/>
          <w:szCs w:val="20"/>
          <w:lang w:val="id-ID"/>
        </w:rPr>
        <w:lastRenderedPageBreak/>
        <w:t>Tabel 3. Kejadian Anemia Pada Responden</w:t>
      </w:r>
    </w:p>
    <w:tbl>
      <w:tblPr>
        <w:tblpPr w:leftFromText="180" w:rightFromText="180" w:vertAnchor="text" w:horzAnchor="margin" w:tblpXSpec="right" w:tblpY="157"/>
        <w:tblW w:w="3645" w:type="dxa"/>
        <w:tblBorders>
          <w:top w:val="single" w:sz="4" w:space="0" w:color="auto"/>
          <w:bottom w:val="single" w:sz="4" w:space="0" w:color="auto"/>
        </w:tblBorders>
        <w:tblLayout w:type="fixed"/>
        <w:tblLook w:val="04A0"/>
      </w:tblPr>
      <w:tblGrid>
        <w:gridCol w:w="1944"/>
        <w:gridCol w:w="851"/>
        <w:gridCol w:w="850"/>
      </w:tblGrid>
      <w:tr w:rsidR="00DB6936" w:rsidRPr="00BA3329" w:rsidTr="00DB6936">
        <w:trPr>
          <w:trHeight w:val="266"/>
        </w:trPr>
        <w:tc>
          <w:tcPr>
            <w:tcW w:w="1944" w:type="dxa"/>
            <w:tcBorders>
              <w:top w:val="single" w:sz="4" w:space="0" w:color="auto"/>
              <w:bottom w:val="single" w:sz="4" w:space="0" w:color="auto"/>
            </w:tcBorders>
            <w:shd w:val="clear" w:color="auto" w:fill="auto"/>
          </w:tcPr>
          <w:p w:rsidR="00DB6936" w:rsidRPr="00BA3329" w:rsidRDefault="00DB6936" w:rsidP="00DB6936">
            <w:pPr>
              <w:jc w:val="center"/>
              <w:rPr>
                <w:rFonts w:ascii="Arial" w:hAnsi="Arial" w:cs="Arial"/>
                <w:b/>
                <w:sz w:val="20"/>
                <w:szCs w:val="20"/>
                <w:lang w:val="id-ID"/>
              </w:rPr>
            </w:pPr>
            <w:r w:rsidRPr="00BA3329">
              <w:rPr>
                <w:rFonts w:ascii="Arial" w:hAnsi="Arial" w:cs="Arial"/>
                <w:b/>
                <w:sz w:val="20"/>
                <w:szCs w:val="20"/>
                <w:lang w:val="id-ID"/>
              </w:rPr>
              <w:t>Kadar Hemoglobin</w:t>
            </w:r>
          </w:p>
          <w:p w:rsidR="00DB6936" w:rsidRPr="00BA3329" w:rsidRDefault="00DB6936" w:rsidP="00DB6936">
            <w:pPr>
              <w:ind w:left="284"/>
              <w:jc w:val="center"/>
              <w:rPr>
                <w:rFonts w:ascii="Arial" w:hAnsi="Arial" w:cs="Arial"/>
                <w:sz w:val="20"/>
                <w:szCs w:val="20"/>
                <w:lang w:val="id-ID"/>
              </w:rPr>
            </w:pPr>
          </w:p>
        </w:tc>
        <w:tc>
          <w:tcPr>
            <w:tcW w:w="851" w:type="dxa"/>
            <w:tcBorders>
              <w:top w:val="single" w:sz="4" w:space="0" w:color="auto"/>
              <w:bottom w:val="single" w:sz="4" w:space="0" w:color="auto"/>
            </w:tcBorders>
            <w:shd w:val="clear" w:color="auto" w:fill="auto"/>
          </w:tcPr>
          <w:p w:rsidR="00DB6936" w:rsidRPr="00BA3329" w:rsidRDefault="00DB6936" w:rsidP="00DB6936">
            <w:pPr>
              <w:jc w:val="center"/>
              <w:rPr>
                <w:rFonts w:ascii="Arial" w:hAnsi="Arial" w:cs="Arial"/>
                <w:b/>
                <w:sz w:val="20"/>
                <w:szCs w:val="20"/>
                <w:lang w:val="id-ID"/>
              </w:rPr>
            </w:pPr>
            <w:r>
              <w:rPr>
                <w:rFonts w:ascii="Arial" w:hAnsi="Arial" w:cs="Arial"/>
                <w:b/>
                <w:sz w:val="20"/>
                <w:szCs w:val="20"/>
                <w:lang w:val="id-ID"/>
              </w:rPr>
              <w:t>n</w:t>
            </w:r>
          </w:p>
        </w:tc>
        <w:tc>
          <w:tcPr>
            <w:tcW w:w="850" w:type="dxa"/>
            <w:tcBorders>
              <w:top w:val="single" w:sz="4" w:space="0" w:color="auto"/>
              <w:bottom w:val="single" w:sz="4" w:space="0" w:color="auto"/>
            </w:tcBorders>
            <w:shd w:val="clear" w:color="auto" w:fill="auto"/>
          </w:tcPr>
          <w:p w:rsidR="00DB6936" w:rsidRPr="00BA3329" w:rsidRDefault="00DB6936" w:rsidP="00DB6936">
            <w:pPr>
              <w:jc w:val="center"/>
              <w:rPr>
                <w:rFonts w:ascii="Arial" w:hAnsi="Arial" w:cs="Arial"/>
                <w:b/>
                <w:sz w:val="20"/>
                <w:szCs w:val="20"/>
                <w:lang w:val="id-ID"/>
              </w:rPr>
            </w:pPr>
            <w:r w:rsidRPr="00BA3329">
              <w:rPr>
                <w:rFonts w:ascii="Arial" w:hAnsi="Arial" w:cs="Arial"/>
                <w:b/>
                <w:sz w:val="20"/>
                <w:szCs w:val="20"/>
                <w:lang w:val="id-ID"/>
              </w:rPr>
              <w:t>%</w:t>
            </w:r>
          </w:p>
        </w:tc>
      </w:tr>
      <w:tr w:rsidR="00DB6936" w:rsidRPr="00BA3329" w:rsidTr="00DB6936">
        <w:tc>
          <w:tcPr>
            <w:tcW w:w="1944" w:type="dxa"/>
            <w:tcBorders>
              <w:top w:val="single" w:sz="4" w:space="0" w:color="auto"/>
            </w:tcBorders>
            <w:shd w:val="clear" w:color="auto" w:fill="auto"/>
          </w:tcPr>
          <w:p w:rsidR="00DB6936" w:rsidRPr="00BA3329" w:rsidRDefault="00DB6936" w:rsidP="00DB6936">
            <w:pPr>
              <w:jc w:val="center"/>
              <w:rPr>
                <w:rFonts w:ascii="Arial" w:hAnsi="Arial" w:cs="Arial"/>
                <w:sz w:val="20"/>
                <w:szCs w:val="20"/>
                <w:lang w:val="id-ID"/>
              </w:rPr>
            </w:pPr>
            <w:r w:rsidRPr="00BA3329">
              <w:rPr>
                <w:rFonts w:ascii="Arial" w:hAnsi="Arial" w:cs="Arial"/>
                <w:sz w:val="20"/>
                <w:szCs w:val="20"/>
                <w:lang w:val="id-ID"/>
              </w:rPr>
              <w:t>Anemia (&lt;1</w:t>
            </w:r>
            <w:r w:rsidRPr="00BA3329">
              <w:rPr>
                <w:rFonts w:ascii="Arial" w:hAnsi="Arial" w:cs="Arial"/>
                <w:sz w:val="20"/>
                <w:szCs w:val="20"/>
              </w:rPr>
              <w:t>2,00)</w:t>
            </w:r>
          </w:p>
        </w:tc>
        <w:tc>
          <w:tcPr>
            <w:tcW w:w="851" w:type="dxa"/>
            <w:tcBorders>
              <w:top w:val="single" w:sz="4" w:space="0" w:color="auto"/>
            </w:tcBorders>
            <w:shd w:val="clear" w:color="auto" w:fill="auto"/>
          </w:tcPr>
          <w:p w:rsidR="00DB6936" w:rsidRPr="00BA3329" w:rsidRDefault="00DB6936" w:rsidP="00DB6936">
            <w:pPr>
              <w:jc w:val="center"/>
              <w:rPr>
                <w:rFonts w:ascii="Arial" w:hAnsi="Arial" w:cs="Arial"/>
                <w:sz w:val="20"/>
                <w:szCs w:val="20"/>
                <w:lang w:val="id-ID"/>
              </w:rPr>
            </w:pPr>
            <w:r w:rsidRPr="00BA3329">
              <w:rPr>
                <w:rFonts w:ascii="Arial" w:hAnsi="Arial" w:cs="Arial"/>
                <w:sz w:val="20"/>
                <w:szCs w:val="20"/>
                <w:lang w:val="id-ID"/>
              </w:rPr>
              <w:t xml:space="preserve">  26</w:t>
            </w:r>
          </w:p>
        </w:tc>
        <w:tc>
          <w:tcPr>
            <w:tcW w:w="850" w:type="dxa"/>
            <w:tcBorders>
              <w:top w:val="single" w:sz="4" w:space="0" w:color="auto"/>
            </w:tcBorders>
            <w:shd w:val="clear" w:color="auto" w:fill="auto"/>
          </w:tcPr>
          <w:p w:rsidR="00DB6936" w:rsidRPr="00BA3329" w:rsidRDefault="00DB6936" w:rsidP="00DB6936">
            <w:pPr>
              <w:jc w:val="center"/>
              <w:rPr>
                <w:rFonts w:ascii="Arial" w:hAnsi="Arial" w:cs="Arial"/>
                <w:sz w:val="20"/>
                <w:szCs w:val="20"/>
              </w:rPr>
            </w:pPr>
            <w:r w:rsidRPr="00BA3329">
              <w:rPr>
                <w:rFonts w:ascii="Arial" w:hAnsi="Arial" w:cs="Arial"/>
                <w:sz w:val="20"/>
                <w:szCs w:val="20"/>
                <w:lang w:val="id-ID"/>
              </w:rPr>
              <w:t>1</w:t>
            </w:r>
            <w:r w:rsidRPr="00BA3329">
              <w:rPr>
                <w:rFonts w:ascii="Arial" w:hAnsi="Arial" w:cs="Arial"/>
                <w:sz w:val="20"/>
                <w:szCs w:val="20"/>
              </w:rPr>
              <w:t>2,94</w:t>
            </w:r>
          </w:p>
        </w:tc>
      </w:tr>
      <w:tr w:rsidR="00DB6936" w:rsidRPr="00BA3329" w:rsidTr="00DB6936">
        <w:tc>
          <w:tcPr>
            <w:tcW w:w="1944" w:type="dxa"/>
            <w:shd w:val="clear" w:color="auto" w:fill="auto"/>
          </w:tcPr>
          <w:p w:rsidR="00DB6936" w:rsidRPr="00BA3329" w:rsidRDefault="00DB6936" w:rsidP="00DB6936">
            <w:pPr>
              <w:jc w:val="center"/>
              <w:rPr>
                <w:rFonts w:ascii="Arial" w:hAnsi="Arial" w:cs="Arial"/>
                <w:sz w:val="20"/>
                <w:szCs w:val="20"/>
                <w:lang w:val="id-ID"/>
              </w:rPr>
            </w:pPr>
            <w:r w:rsidRPr="00BA3329">
              <w:rPr>
                <w:rFonts w:ascii="Arial" w:hAnsi="Arial" w:cs="Arial"/>
                <w:sz w:val="20"/>
                <w:szCs w:val="20"/>
                <w:lang w:val="id-ID"/>
              </w:rPr>
              <w:t>Tidak anemia (≥</w:t>
            </w:r>
            <w:r w:rsidRPr="00BA3329">
              <w:rPr>
                <w:rFonts w:ascii="Arial" w:hAnsi="Arial" w:cs="Arial"/>
                <w:sz w:val="20"/>
                <w:szCs w:val="20"/>
              </w:rPr>
              <w:t>12,00)</w:t>
            </w:r>
          </w:p>
        </w:tc>
        <w:tc>
          <w:tcPr>
            <w:tcW w:w="851" w:type="dxa"/>
            <w:shd w:val="clear" w:color="auto" w:fill="auto"/>
          </w:tcPr>
          <w:p w:rsidR="00DB6936" w:rsidRPr="00BA3329" w:rsidRDefault="00DB6936" w:rsidP="00DB6936">
            <w:pPr>
              <w:jc w:val="center"/>
              <w:rPr>
                <w:rFonts w:ascii="Arial" w:hAnsi="Arial" w:cs="Arial"/>
                <w:sz w:val="20"/>
                <w:szCs w:val="20"/>
                <w:lang w:val="id-ID"/>
              </w:rPr>
            </w:pPr>
            <w:r w:rsidRPr="00BA3329">
              <w:rPr>
                <w:rFonts w:ascii="Arial" w:hAnsi="Arial" w:cs="Arial"/>
                <w:sz w:val="20"/>
                <w:szCs w:val="20"/>
                <w:lang w:val="id-ID"/>
              </w:rPr>
              <w:t>175</w:t>
            </w:r>
          </w:p>
        </w:tc>
        <w:tc>
          <w:tcPr>
            <w:tcW w:w="850" w:type="dxa"/>
            <w:shd w:val="clear" w:color="auto" w:fill="auto"/>
          </w:tcPr>
          <w:p w:rsidR="00DB6936" w:rsidRPr="00BA3329" w:rsidRDefault="00DB6936" w:rsidP="00DB6936">
            <w:pPr>
              <w:jc w:val="center"/>
              <w:rPr>
                <w:rFonts w:ascii="Arial" w:hAnsi="Arial" w:cs="Arial"/>
                <w:sz w:val="20"/>
                <w:szCs w:val="20"/>
                <w:lang w:val="id-ID"/>
              </w:rPr>
            </w:pPr>
            <w:r w:rsidRPr="00BA3329">
              <w:rPr>
                <w:rFonts w:ascii="Arial" w:hAnsi="Arial" w:cs="Arial"/>
                <w:sz w:val="20"/>
                <w:szCs w:val="20"/>
                <w:lang w:val="id-ID"/>
              </w:rPr>
              <w:t>87</w:t>
            </w:r>
            <w:r w:rsidRPr="00BA3329">
              <w:rPr>
                <w:rFonts w:ascii="Arial" w:hAnsi="Arial" w:cs="Arial"/>
                <w:sz w:val="20"/>
                <w:szCs w:val="20"/>
              </w:rPr>
              <w:t>,</w:t>
            </w:r>
            <w:r w:rsidRPr="00BA3329">
              <w:rPr>
                <w:rFonts w:ascii="Arial" w:hAnsi="Arial" w:cs="Arial"/>
                <w:sz w:val="20"/>
                <w:szCs w:val="20"/>
                <w:lang w:val="id-ID"/>
              </w:rPr>
              <w:t>06</w:t>
            </w:r>
          </w:p>
        </w:tc>
      </w:tr>
    </w:tbl>
    <w:p w:rsidR="0009296B" w:rsidRPr="007D2CFD" w:rsidRDefault="0009296B" w:rsidP="00C73FC7">
      <w:pPr>
        <w:spacing w:line="360" w:lineRule="auto"/>
        <w:jc w:val="both"/>
        <w:rPr>
          <w:rFonts w:ascii="Arial" w:hAnsi="Arial" w:cs="Arial"/>
          <w:b/>
          <w:sz w:val="20"/>
          <w:szCs w:val="20"/>
        </w:rPr>
      </w:pPr>
    </w:p>
    <w:p w:rsidR="00DB6936" w:rsidRPr="00C73FC7" w:rsidRDefault="00DB6936" w:rsidP="00C73FC7">
      <w:pPr>
        <w:autoSpaceDE w:val="0"/>
        <w:autoSpaceDN w:val="0"/>
        <w:adjustRightInd w:val="0"/>
        <w:spacing w:line="360" w:lineRule="auto"/>
        <w:jc w:val="both"/>
        <w:rPr>
          <w:rFonts w:ascii="Arial" w:hAnsi="Arial" w:cs="Arial"/>
          <w:b/>
          <w:sz w:val="20"/>
          <w:szCs w:val="20"/>
          <w:lang w:val="id-ID"/>
        </w:rPr>
      </w:pPr>
      <w:r w:rsidRPr="00C73FC7">
        <w:rPr>
          <w:rFonts w:ascii="Arial" w:hAnsi="Arial" w:cs="Arial"/>
          <w:b/>
          <w:sz w:val="20"/>
          <w:szCs w:val="20"/>
          <w:lang w:val="id-ID"/>
        </w:rPr>
        <w:t xml:space="preserve">Profil Anemia Berdasarkan Indeks Eritrosit </w:t>
      </w:r>
    </w:p>
    <w:p w:rsidR="00DB6936" w:rsidRDefault="00DB6936" w:rsidP="00C73FC7">
      <w:pPr>
        <w:autoSpaceDE w:val="0"/>
        <w:autoSpaceDN w:val="0"/>
        <w:adjustRightInd w:val="0"/>
        <w:spacing w:line="360" w:lineRule="auto"/>
        <w:ind w:firstLine="426"/>
        <w:jc w:val="both"/>
        <w:rPr>
          <w:lang w:val="id-ID"/>
        </w:rPr>
      </w:pPr>
      <w:r w:rsidRPr="00C73FC7">
        <w:rPr>
          <w:rFonts w:ascii="Arial" w:hAnsi="Arial" w:cs="Arial"/>
          <w:sz w:val="20"/>
          <w:szCs w:val="20"/>
          <w:lang w:val="id-ID"/>
        </w:rPr>
        <w:t>S</w:t>
      </w:r>
      <w:r w:rsidRPr="00C73FC7">
        <w:rPr>
          <w:rFonts w:ascii="Arial" w:hAnsi="Arial" w:cs="Arial"/>
          <w:sz w:val="20"/>
          <w:szCs w:val="20"/>
        </w:rPr>
        <w:t xml:space="preserve">etelah </w:t>
      </w:r>
      <w:r w:rsidRPr="00C73FC7">
        <w:rPr>
          <w:rFonts w:ascii="Arial" w:hAnsi="Arial" w:cs="Arial"/>
          <w:sz w:val="20"/>
          <w:szCs w:val="20"/>
          <w:lang w:val="id-ID"/>
        </w:rPr>
        <w:t>dievaluasi</w:t>
      </w:r>
      <w:r w:rsidRPr="00C73FC7">
        <w:rPr>
          <w:rFonts w:ascii="Arial" w:hAnsi="Arial" w:cs="Arial"/>
          <w:sz w:val="20"/>
          <w:szCs w:val="20"/>
        </w:rPr>
        <w:t xml:space="preserve"> </w:t>
      </w:r>
      <w:r w:rsidRPr="00C73FC7">
        <w:rPr>
          <w:rFonts w:ascii="Arial" w:hAnsi="Arial" w:cs="Arial"/>
          <w:sz w:val="20"/>
          <w:szCs w:val="20"/>
          <w:lang w:val="id-ID"/>
        </w:rPr>
        <w:t xml:space="preserve">kadar </w:t>
      </w:r>
      <w:r w:rsidRPr="00C73FC7">
        <w:rPr>
          <w:rFonts w:ascii="Arial" w:hAnsi="Arial" w:cs="Arial"/>
          <w:i/>
          <w:sz w:val="20"/>
          <w:szCs w:val="20"/>
        </w:rPr>
        <w:t>MCV</w:t>
      </w:r>
      <w:r w:rsidRPr="00C73FC7">
        <w:rPr>
          <w:rFonts w:ascii="Arial" w:hAnsi="Arial" w:cs="Arial"/>
          <w:sz w:val="20"/>
          <w:szCs w:val="20"/>
        </w:rPr>
        <w:t xml:space="preserve">, </w:t>
      </w:r>
      <w:r w:rsidRPr="00C73FC7">
        <w:rPr>
          <w:rFonts w:ascii="Arial" w:hAnsi="Arial" w:cs="Arial"/>
          <w:i/>
          <w:sz w:val="20"/>
          <w:szCs w:val="20"/>
        </w:rPr>
        <w:t>MCH</w:t>
      </w:r>
      <w:r w:rsidRPr="00C73FC7">
        <w:rPr>
          <w:rFonts w:ascii="Arial" w:hAnsi="Arial" w:cs="Arial"/>
          <w:sz w:val="20"/>
          <w:szCs w:val="20"/>
        </w:rPr>
        <w:t xml:space="preserve"> dan </w:t>
      </w:r>
      <w:r w:rsidRPr="00C73FC7">
        <w:rPr>
          <w:rFonts w:ascii="Arial" w:hAnsi="Arial" w:cs="Arial"/>
          <w:i/>
          <w:sz w:val="20"/>
          <w:szCs w:val="20"/>
        </w:rPr>
        <w:t>MCHC</w:t>
      </w:r>
      <w:r w:rsidRPr="00C73FC7">
        <w:rPr>
          <w:rFonts w:ascii="Arial" w:hAnsi="Arial" w:cs="Arial"/>
          <w:sz w:val="20"/>
          <w:szCs w:val="20"/>
          <w:lang w:val="id-ID"/>
        </w:rPr>
        <w:t xml:space="preserve"> dari 26 anak yang mengalami anemia, diperoleh</w:t>
      </w:r>
      <w:r w:rsidRPr="00C73FC7">
        <w:rPr>
          <w:rFonts w:ascii="Arial" w:hAnsi="Arial" w:cs="Arial"/>
          <w:sz w:val="20"/>
          <w:szCs w:val="20"/>
        </w:rPr>
        <w:t xml:space="preserve"> </w:t>
      </w:r>
      <w:r w:rsidRPr="00C73FC7">
        <w:rPr>
          <w:rFonts w:ascii="Arial" w:hAnsi="Arial" w:cs="Arial"/>
          <w:sz w:val="20"/>
          <w:szCs w:val="20"/>
          <w:lang w:val="id-ID"/>
        </w:rPr>
        <w:t>data bahwa 10</w:t>
      </w:r>
      <w:r w:rsidRPr="00C73FC7">
        <w:rPr>
          <w:rFonts w:ascii="Arial" w:hAnsi="Arial" w:cs="Arial"/>
          <w:sz w:val="20"/>
          <w:szCs w:val="20"/>
        </w:rPr>
        <w:t xml:space="preserve"> penderita anemia</w:t>
      </w:r>
      <w:r w:rsidRPr="00C73FC7">
        <w:rPr>
          <w:rFonts w:ascii="Arial" w:hAnsi="Arial" w:cs="Arial"/>
          <w:sz w:val="20"/>
          <w:szCs w:val="20"/>
          <w:lang w:val="id-ID"/>
        </w:rPr>
        <w:t xml:space="preserve"> </w:t>
      </w:r>
      <w:r w:rsidRPr="00C73FC7">
        <w:rPr>
          <w:rFonts w:ascii="Arial" w:hAnsi="Arial" w:cs="Arial"/>
          <w:sz w:val="20"/>
          <w:szCs w:val="20"/>
        </w:rPr>
        <w:t>(3</w:t>
      </w:r>
      <w:r w:rsidRPr="00C73FC7">
        <w:rPr>
          <w:rFonts w:ascii="Arial" w:hAnsi="Arial" w:cs="Arial"/>
          <w:sz w:val="20"/>
          <w:szCs w:val="20"/>
          <w:lang w:val="id-ID"/>
        </w:rPr>
        <w:t>8</w:t>
      </w:r>
      <w:r w:rsidRPr="00C73FC7">
        <w:rPr>
          <w:rFonts w:ascii="Arial" w:hAnsi="Arial" w:cs="Arial"/>
          <w:sz w:val="20"/>
          <w:szCs w:val="20"/>
        </w:rPr>
        <w:t>,</w:t>
      </w:r>
      <w:r w:rsidRPr="00C73FC7">
        <w:rPr>
          <w:rFonts w:ascii="Arial" w:hAnsi="Arial" w:cs="Arial"/>
          <w:sz w:val="20"/>
          <w:szCs w:val="20"/>
          <w:lang w:val="id-ID"/>
        </w:rPr>
        <w:t>46</w:t>
      </w:r>
      <w:r w:rsidRPr="00C73FC7">
        <w:rPr>
          <w:rFonts w:ascii="Arial" w:hAnsi="Arial" w:cs="Arial"/>
          <w:sz w:val="20"/>
          <w:szCs w:val="20"/>
        </w:rPr>
        <w:t>%) menunjukan gambaran normositik hipokromik</w:t>
      </w:r>
      <w:r w:rsidRPr="00C73FC7">
        <w:rPr>
          <w:rFonts w:ascii="Arial" w:hAnsi="Arial" w:cs="Arial"/>
          <w:sz w:val="20"/>
          <w:szCs w:val="20"/>
          <w:lang w:val="id-ID"/>
        </w:rPr>
        <w:t>.</w:t>
      </w:r>
      <w:r w:rsidRPr="00C73FC7">
        <w:rPr>
          <w:rFonts w:ascii="Arial" w:hAnsi="Arial" w:cs="Arial"/>
          <w:sz w:val="20"/>
          <w:szCs w:val="20"/>
        </w:rPr>
        <w:t xml:space="preserve"> </w:t>
      </w:r>
      <w:r w:rsidRPr="00C73FC7">
        <w:rPr>
          <w:rFonts w:ascii="Arial" w:hAnsi="Arial" w:cs="Arial"/>
          <w:sz w:val="20"/>
          <w:szCs w:val="20"/>
          <w:lang w:val="id-ID"/>
        </w:rPr>
        <w:t xml:space="preserve">Kejadian anemia yang </w:t>
      </w:r>
      <w:r w:rsidRPr="00C73FC7">
        <w:rPr>
          <w:rFonts w:ascii="Arial" w:hAnsi="Arial" w:cs="Arial"/>
          <w:sz w:val="20"/>
          <w:szCs w:val="20"/>
        </w:rPr>
        <w:t xml:space="preserve">terbanyak </w:t>
      </w:r>
      <w:r w:rsidRPr="00C73FC7">
        <w:rPr>
          <w:rFonts w:ascii="Arial" w:hAnsi="Arial" w:cs="Arial"/>
          <w:sz w:val="20"/>
          <w:szCs w:val="20"/>
          <w:lang w:val="id-ID"/>
        </w:rPr>
        <w:t>adalah</w:t>
      </w:r>
      <w:r w:rsidRPr="00C73FC7">
        <w:rPr>
          <w:rFonts w:ascii="Arial" w:hAnsi="Arial" w:cs="Arial"/>
          <w:sz w:val="20"/>
          <w:szCs w:val="20"/>
        </w:rPr>
        <w:t xml:space="preserve"> 16 penderita anemia (61,5</w:t>
      </w:r>
      <w:r w:rsidRPr="00C73FC7">
        <w:rPr>
          <w:rFonts w:ascii="Arial" w:hAnsi="Arial" w:cs="Arial"/>
          <w:sz w:val="20"/>
          <w:szCs w:val="20"/>
          <w:lang w:val="id-ID"/>
        </w:rPr>
        <w:t>4</w:t>
      </w:r>
      <w:r w:rsidRPr="00C73FC7">
        <w:rPr>
          <w:rFonts w:ascii="Arial" w:hAnsi="Arial" w:cs="Arial"/>
          <w:sz w:val="20"/>
          <w:szCs w:val="20"/>
        </w:rPr>
        <w:t xml:space="preserve">%) </w:t>
      </w:r>
      <w:r w:rsidRPr="00C73FC7">
        <w:rPr>
          <w:rFonts w:ascii="Arial" w:hAnsi="Arial" w:cs="Arial"/>
          <w:sz w:val="20"/>
          <w:szCs w:val="20"/>
          <w:lang w:val="id-ID"/>
        </w:rPr>
        <w:t>dengan gambaran</w:t>
      </w:r>
      <w:r w:rsidRPr="00C73FC7">
        <w:rPr>
          <w:rFonts w:ascii="Arial" w:hAnsi="Arial" w:cs="Arial"/>
          <w:sz w:val="20"/>
          <w:szCs w:val="20"/>
        </w:rPr>
        <w:t xml:space="preserve"> mikrositik hipokromik. </w:t>
      </w:r>
      <w:r w:rsidRPr="00C73FC7">
        <w:rPr>
          <w:rFonts w:ascii="Arial" w:hAnsi="Arial" w:cs="Arial"/>
          <w:sz w:val="20"/>
          <w:szCs w:val="20"/>
          <w:lang w:val="id-ID"/>
        </w:rPr>
        <w:t>Profil anemia berdasarkan indeks eritrosit</w:t>
      </w:r>
      <w:r w:rsidRPr="00C73FC7">
        <w:rPr>
          <w:rFonts w:ascii="Arial" w:hAnsi="Arial" w:cs="Arial"/>
          <w:sz w:val="20"/>
          <w:szCs w:val="20"/>
        </w:rPr>
        <w:t xml:space="preserve"> dijabarkan </w:t>
      </w:r>
      <w:r w:rsidRPr="00C73FC7">
        <w:rPr>
          <w:rFonts w:ascii="Arial" w:hAnsi="Arial" w:cs="Arial"/>
          <w:sz w:val="20"/>
          <w:szCs w:val="20"/>
          <w:lang w:val="id-ID"/>
        </w:rPr>
        <w:t>pada</w:t>
      </w:r>
      <w:r w:rsidRPr="00C73FC7">
        <w:rPr>
          <w:rFonts w:ascii="Arial" w:hAnsi="Arial" w:cs="Arial"/>
          <w:sz w:val="20"/>
          <w:szCs w:val="20"/>
        </w:rPr>
        <w:t xml:space="preserve"> tab</w:t>
      </w:r>
      <w:r w:rsidRPr="00C73FC7">
        <w:rPr>
          <w:rFonts w:ascii="Arial" w:hAnsi="Arial" w:cs="Arial"/>
          <w:sz w:val="20"/>
          <w:szCs w:val="20"/>
          <w:lang w:val="id-ID"/>
        </w:rPr>
        <w:t>e</w:t>
      </w:r>
      <w:r w:rsidRPr="00C73FC7">
        <w:rPr>
          <w:rFonts w:ascii="Arial" w:hAnsi="Arial" w:cs="Arial"/>
          <w:sz w:val="20"/>
          <w:szCs w:val="20"/>
        </w:rPr>
        <w:t>l</w:t>
      </w:r>
      <w:r w:rsidR="00C73FC7">
        <w:rPr>
          <w:rFonts w:ascii="Arial" w:hAnsi="Arial" w:cs="Arial"/>
          <w:sz w:val="20"/>
          <w:szCs w:val="20"/>
          <w:lang w:val="id-ID"/>
        </w:rPr>
        <w:t xml:space="preserve"> 4</w:t>
      </w:r>
      <w:r w:rsidR="00C73FC7" w:rsidRPr="00C73FC7">
        <w:rPr>
          <w:rFonts w:ascii="Arial" w:hAnsi="Arial" w:cs="Arial"/>
          <w:sz w:val="20"/>
          <w:szCs w:val="20"/>
          <w:lang w:val="id-ID"/>
        </w:rPr>
        <w:t>.</w:t>
      </w:r>
      <w:r w:rsidR="00C73FC7">
        <w:rPr>
          <w:lang w:val="id-ID"/>
        </w:rPr>
        <w:t xml:space="preserve"> </w:t>
      </w:r>
    </w:p>
    <w:p w:rsidR="00C73FC7" w:rsidRDefault="00C73FC7" w:rsidP="00C73FC7">
      <w:pPr>
        <w:autoSpaceDE w:val="0"/>
        <w:autoSpaceDN w:val="0"/>
        <w:adjustRightInd w:val="0"/>
        <w:spacing w:line="360" w:lineRule="auto"/>
        <w:ind w:firstLine="426"/>
        <w:jc w:val="both"/>
        <w:rPr>
          <w:lang w:val="id-ID"/>
        </w:rPr>
        <w:sectPr w:rsidR="00C73FC7" w:rsidSect="006B5E0A">
          <w:type w:val="continuous"/>
          <w:pgSz w:w="11907" w:h="16839" w:code="9"/>
          <w:pgMar w:top="2275" w:right="1699" w:bottom="1699" w:left="2275" w:header="720" w:footer="720" w:gutter="0"/>
          <w:cols w:num="2" w:space="720"/>
          <w:titlePg/>
          <w:docGrid w:linePitch="360"/>
        </w:sectPr>
      </w:pPr>
    </w:p>
    <w:p w:rsidR="00C73FC7" w:rsidRPr="00C73FC7" w:rsidRDefault="00C73FC7" w:rsidP="00C73FC7">
      <w:pPr>
        <w:autoSpaceDE w:val="0"/>
        <w:autoSpaceDN w:val="0"/>
        <w:adjustRightInd w:val="0"/>
        <w:spacing w:line="360" w:lineRule="auto"/>
        <w:ind w:firstLine="426"/>
        <w:jc w:val="both"/>
        <w:rPr>
          <w:lang w:val="id-ID"/>
        </w:rPr>
      </w:pPr>
    </w:p>
    <w:p w:rsidR="00C73FC7" w:rsidRDefault="00C73FC7" w:rsidP="00024871">
      <w:pPr>
        <w:jc w:val="both"/>
        <w:rPr>
          <w:b/>
          <w:sz w:val="20"/>
          <w:szCs w:val="20"/>
          <w:lang w:val="id-ID"/>
        </w:rPr>
        <w:sectPr w:rsidR="00C73FC7" w:rsidSect="00C73FC7">
          <w:type w:val="continuous"/>
          <w:pgSz w:w="11907" w:h="16839" w:code="9"/>
          <w:pgMar w:top="2275" w:right="1699" w:bottom="1699" w:left="2275" w:header="720" w:footer="720" w:gutter="0"/>
          <w:cols w:space="720"/>
          <w:titlePg/>
          <w:docGrid w:linePitch="360"/>
        </w:sectPr>
      </w:pPr>
    </w:p>
    <w:p w:rsidR="00C73FC7" w:rsidRDefault="00C73FC7" w:rsidP="00C73FC7">
      <w:pPr>
        <w:jc w:val="center"/>
        <w:rPr>
          <w:b/>
          <w:sz w:val="20"/>
          <w:szCs w:val="20"/>
          <w:lang w:val="id-ID"/>
        </w:rPr>
      </w:pPr>
      <w:r>
        <w:rPr>
          <w:b/>
          <w:sz w:val="20"/>
          <w:szCs w:val="20"/>
          <w:lang w:val="id-ID"/>
        </w:rPr>
        <w:lastRenderedPageBreak/>
        <w:t>Tabel 4. Profil Anemia Berdasarkan Indeks Eritrosit</w:t>
      </w:r>
    </w:p>
    <w:p w:rsidR="00C73FC7" w:rsidRDefault="00C73FC7" w:rsidP="00024871">
      <w:pPr>
        <w:jc w:val="both"/>
        <w:rPr>
          <w:b/>
          <w:sz w:val="20"/>
          <w:szCs w:val="20"/>
          <w:lang w:val="id-ID"/>
        </w:rPr>
        <w:sectPr w:rsidR="00C73FC7" w:rsidSect="00C73FC7">
          <w:type w:val="continuous"/>
          <w:pgSz w:w="11907" w:h="16839" w:code="9"/>
          <w:pgMar w:top="2275" w:right="1699" w:bottom="1699" w:left="2275" w:header="720" w:footer="720" w:gutter="0"/>
          <w:cols w:space="720"/>
          <w:titlePg/>
          <w:docGrid w:linePitch="360"/>
        </w:sectPr>
      </w:pPr>
    </w:p>
    <w:tbl>
      <w:tblPr>
        <w:tblpPr w:leftFromText="180" w:rightFromText="180" w:vertAnchor="text" w:horzAnchor="margin" w:tblpXSpec="center" w:tblpY="27"/>
        <w:tblW w:w="7010" w:type="dxa"/>
        <w:tblBorders>
          <w:top w:val="single" w:sz="4" w:space="0" w:color="auto"/>
          <w:bottom w:val="single" w:sz="4" w:space="0" w:color="auto"/>
        </w:tblBorders>
        <w:tblLayout w:type="fixed"/>
        <w:tblLook w:val="04A0"/>
      </w:tblPr>
      <w:tblGrid>
        <w:gridCol w:w="2108"/>
        <w:gridCol w:w="909"/>
        <w:gridCol w:w="912"/>
        <w:gridCol w:w="820"/>
        <w:gridCol w:w="820"/>
        <w:gridCol w:w="557"/>
        <w:gridCol w:w="884"/>
      </w:tblGrid>
      <w:tr w:rsidR="00C73FC7" w:rsidRPr="001B61AB" w:rsidTr="00C73FC7">
        <w:trPr>
          <w:trHeight w:val="354"/>
        </w:trPr>
        <w:tc>
          <w:tcPr>
            <w:tcW w:w="2108" w:type="dxa"/>
            <w:vMerge w:val="restart"/>
            <w:tcBorders>
              <w:top w:val="single" w:sz="4" w:space="0" w:color="auto"/>
            </w:tcBorders>
            <w:shd w:val="clear" w:color="auto" w:fill="auto"/>
            <w:vAlign w:val="center"/>
          </w:tcPr>
          <w:p w:rsidR="00C73FC7" w:rsidRPr="001B61AB" w:rsidRDefault="00C73FC7" w:rsidP="00024871">
            <w:pPr>
              <w:jc w:val="both"/>
              <w:rPr>
                <w:b/>
                <w:sz w:val="20"/>
                <w:szCs w:val="20"/>
              </w:rPr>
            </w:pPr>
            <w:r w:rsidRPr="001B61AB">
              <w:rPr>
                <w:b/>
                <w:sz w:val="20"/>
                <w:szCs w:val="20"/>
                <w:lang w:val="id-ID"/>
              </w:rPr>
              <w:t>Jenis Kelamin</w:t>
            </w:r>
          </w:p>
        </w:tc>
        <w:tc>
          <w:tcPr>
            <w:tcW w:w="4902" w:type="dxa"/>
            <w:gridSpan w:val="6"/>
            <w:tcBorders>
              <w:top w:val="single" w:sz="4" w:space="0" w:color="auto"/>
              <w:bottom w:val="single" w:sz="4" w:space="0" w:color="auto"/>
            </w:tcBorders>
            <w:shd w:val="clear" w:color="auto" w:fill="auto"/>
            <w:vAlign w:val="center"/>
          </w:tcPr>
          <w:p w:rsidR="00C73FC7" w:rsidRPr="001B61AB" w:rsidRDefault="00C73FC7" w:rsidP="00024871">
            <w:pPr>
              <w:rPr>
                <w:b/>
                <w:sz w:val="20"/>
                <w:szCs w:val="20"/>
              </w:rPr>
            </w:pPr>
            <w:r w:rsidRPr="001B61AB">
              <w:rPr>
                <w:b/>
                <w:sz w:val="20"/>
                <w:szCs w:val="20"/>
                <w:lang w:val="id-ID"/>
              </w:rPr>
              <w:t xml:space="preserve">                  Jenis Anemia </w:t>
            </w:r>
          </w:p>
        </w:tc>
      </w:tr>
      <w:tr w:rsidR="00C73FC7" w:rsidRPr="001B61AB" w:rsidTr="00C73FC7">
        <w:trPr>
          <w:trHeight w:val="182"/>
        </w:trPr>
        <w:tc>
          <w:tcPr>
            <w:tcW w:w="2108" w:type="dxa"/>
            <w:vMerge/>
            <w:shd w:val="clear" w:color="auto" w:fill="auto"/>
          </w:tcPr>
          <w:p w:rsidR="00C73FC7" w:rsidRPr="001B61AB" w:rsidRDefault="00C73FC7" w:rsidP="00024871">
            <w:pPr>
              <w:jc w:val="both"/>
              <w:rPr>
                <w:b/>
                <w:sz w:val="20"/>
                <w:szCs w:val="20"/>
                <w:lang w:val="id-ID"/>
              </w:rPr>
            </w:pPr>
          </w:p>
        </w:tc>
        <w:tc>
          <w:tcPr>
            <w:tcW w:w="1821" w:type="dxa"/>
            <w:gridSpan w:val="2"/>
            <w:tcBorders>
              <w:top w:val="single" w:sz="4" w:space="0" w:color="auto"/>
            </w:tcBorders>
            <w:shd w:val="clear" w:color="auto" w:fill="auto"/>
            <w:vAlign w:val="center"/>
          </w:tcPr>
          <w:p w:rsidR="00C73FC7" w:rsidRPr="001B61AB" w:rsidRDefault="00C73FC7" w:rsidP="00024871">
            <w:pPr>
              <w:jc w:val="center"/>
              <w:rPr>
                <w:b/>
                <w:sz w:val="20"/>
                <w:szCs w:val="20"/>
              </w:rPr>
            </w:pPr>
            <w:r w:rsidRPr="001B61AB">
              <w:rPr>
                <w:b/>
                <w:sz w:val="20"/>
                <w:szCs w:val="20"/>
                <w:lang w:val="id-ID"/>
              </w:rPr>
              <w:t>Mikrositik Hipokromik</w:t>
            </w:r>
          </w:p>
        </w:tc>
        <w:tc>
          <w:tcPr>
            <w:tcW w:w="1640" w:type="dxa"/>
            <w:gridSpan w:val="2"/>
            <w:tcBorders>
              <w:top w:val="single" w:sz="4" w:space="0" w:color="auto"/>
            </w:tcBorders>
            <w:shd w:val="clear" w:color="auto" w:fill="auto"/>
            <w:vAlign w:val="center"/>
          </w:tcPr>
          <w:p w:rsidR="00C73FC7" w:rsidRPr="001B61AB" w:rsidRDefault="00C73FC7" w:rsidP="00024871">
            <w:pPr>
              <w:jc w:val="center"/>
              <w:rPr>
                <w:b/>
                <w:sz w:val="20"/>
                <w:szCs w:val="20"/>
              </w:rPr>
            </w:pPr>
            <w:r w:rsidRPr="001B61AB">
              <w:rPr>
                <w:b/>
                <w:sz w:val="20"/>
                <w:szCs w:val="20"/>
                <w:lang w:val="id-ID"/>
              </w:rPr>
              <w:t xml:space="preserve">Normositik Hipokromik </w:t>
            </w:r>
            <w:r w:rsidRPr="001B61AB">
              <w:rPr>
                <w:b/>
                <w:sz w:val="20"/>
                <w:szCs w:val="20"/>
              </w:rPr>
              <w:t xml:space="preserve">   </w:t>
            </w:r>
          </w:p>
        </w:tc>
        <w:tc>
          <w:tcPr>
            <w:tcW w:w="1441" w:type="dxa"/>
            <w:gridSpan w:val="2"/>
            <w:tcBorders>
              <w:top w:val="single" w:sz="4" w:space="0" w:color="auto"/>
            </w:tcBorders>
            <w:shd w:val="clear" w:color="auto" w:fill="auto"/>
            <w:vAlign w:val="center"/>
          </w:tcPr>
          <w:p w:rsidR="00C73FC7" w:rsidRPr="001B61AB" w:rsidRDefault="00C73FC7" w:rsidP="00024871">
            <w:pPr>
              <w:jc w:val="center"/>
              <w:rPr>
                <w:b/>
                <w:sz w:val="20"/>
                <w:szCs w:val="20"/>
              </w:rPr>
            </w:pPr>
            <w:r w:rsidRPr="001B61AB">
              <w:rPr>
                <w:b/>
                <w:sz w:val="20"/>
                <w:szCs w:val="20"/>
              </w:rPr>
              <w:t xml:space="preserve">Total   </w:t>
            </w:r>
          </w:p>
        </w:tc>
      </w:tr>
      <w:tr w:rsidR="00C73FC7" w:rsidRPr="001B61AB" w:rsidTr="00C73FC7">
        <w:trPr>
          <w:trHeight w:val="182"/>
        </w:trPr>
        <w:tc>
          <w:tcPr>
            <w:tcW w:w="2108" w:type="dxa"/>
            <w:vMerge/>
            <w:tcBorders>
              <w:bottom w:val="single" w:sz="4" w:space="0" w:color="auto"/>
            </w:tcBorders>
            <w:shd w:val="clear" w:color="auto" w:fill="auto"/>
          </w:tcPr>
          <w:p w:rsidR="00C73FC7" w:rsidRPr="001B61AB" w:rsidRDefault="00C73FC7" w:rsidP="00024871">
            <w:pPr>
              <w:jc w:val="both"/>
              <w:rPr>
                <w:b/>
                <w:sz w:val="20"/>
                <w:szCs w:val="20"/>
                <w:lang w:val="id-ID"/>
              </w:rPr>
            </w:pPr>
          </w:p>
        </w:tc>
        <w:tc>
          <w:tcPr>
            <w:tcW w:w="909" w:type="dxa"/>
            <w:tcBorders>
              <w:bottom w:val="single" w:sz="4" w:space="0" w:color="auto"/>
            </w:tcBorders>
            <w:shd w:val="clear" w:color="auto" w:fill="auto"/>
            <w:vAlign w:val="center"/>
          </w:tcPr>
          <w:p w:rsidR="00C73FC7" w:rsidRPr="001B61AB" w:rsidRDefault="00C73FC7" w:rsidP="00024871">
            <w:pPr>
              <w:jc w:val="center"/>
              <w:rPr>
                <w:b/>
                <w:sz w:val="20"/>
                <w:szCs w:val="20"/>
                <w:lang w:val="id-ID"/>
              </w:rPr>
            </w:pPr>
            <w:r w:rsidRPr="001B61AB">
              <w:rPr>
                <w:b/>
                <w:sz w:val="20"/>
                <w:szCs w:val="20"/>
                <w:lang w:val="id-ID"/>
              </w:rPr>
              <w:t>N</w:t>
            </w:r>
          </w:p>
        </w:tc>
        <w:tc>
          <w:tcPr>
            <w:tcW w:w="912" w:type="dxa"/>
            <w:tcBorders>
              <w:bottom w:val="single" w:sz="4" w:space="0" w:color="auto"/>
            </w:tcBorders>
            <w:shd w:val="clear" w:color="auto" w:fill="auto"/>
            <w:vAlign w:val="center"/>
          </w:tcPr>
          <w:p w:rsidR="00C73FC7" w:rsidRPr="001B61AB" w:rsidRDefault="00C73FC7" w:rsidP="00024871">
            <w:pPr>
              <w:jc w:val="center"/>
              <w:rPr>
                <w:b/>
                <w:sz w:val="20"/>
                <w:szCs w:val="20"/>
              </w:rPr>
            </w:pPr>
            <w:r w:rsidRPr="001B61AB">
              <w:rPr>
                <w:b/>
                <w:sz w:val="20"/>
                <w:szCs w:val="20"/>
              </w:rPr>
              <w:t>%</w:t>
            </w:r>
          </w:p>
        </w:tc>
        <w:tc>
          <w:tcPr>
            <w:tcW w:w="820" w:type="dxa"/>
            <w:tcBorders>
              <w:bottom w:val="single" w:sz="4" w:space="0" w:color="auto"/>
            </w:tcBorders>
            <w:shd w:val="clear" w:color="auto" w:fill="auto"/>
            <w:vAlign w:val="center"/>
          </w:tcPr>
          <w:p w:rsidR="00C73FC7" w:rsidRPr="001B61AB" w:rsidRDefault="00C73FC7" w:rsidP="00024871">
            <w:pPr>
              <w:jc w:val="center"/>
              <w:rPr>
                <w:b/>
                <w:sz w:val="20"/>
                <w:szCs w:val="20"/>
                <w:lang w:val="id-ID"/>
              </w:rPr>
            </w:pPr>
            <w:r w:rsidRPr="001B61AB">
              <w:rPr>
                <w:b/>
                <w:sz w:val="20"/>
                <w:szCs w:val="20"/>
                <w:lang w:val="id-ID"/>
              </w:rPr>
              <w:t>N</w:t>
            </w:r>
          </w:p>
        </w:tc>
        <w:tc>
          <w:tcPr>
            <w:tcW w:w="820" w:type="dxa"/>
            <w:tcBorders>
              <w:bottom w:val="single" w:sz="4" w:space="0" w:color="auto"/>
            </w:tcBorders>
            <w:shd w:val="clear" w:color="auto" w:fill="auto"/>
            <w:vAlign w:val="center"/>
          </w:tcPr>
          <w:p w:rsidR="00C73FC7" w:rsidRPr="001B61AB" w:rsidRDefault="00C73FC7" w:rsidP="00024871">
            <w:pPr>
              <w:jc w:val="center"/>
              <w:rPr>
                <w:b/>
                <w:sz w:val="20"/>
                <w:szCs w:val="20"/>
              </w:rPr>
            </w:pPr>
            <w:r w:rsidRPr="001B61AB">
              <w:rPr>
                <w:b/>
                <w:sz w:val="20"/>
                <w:szCs w:val="20"/>
              </w:rPr>
              <w:t>%</w:t>
            </w:r>
          </w:p>
        </w:tc>
        <w:tc>
          <w:tcPr>
            <w:tcW w:w="557" w:type="dxa"/>
            <w:tcBorders>
              <w:bottom w:val="single" w:sz="4" w:space="0" w:color="auto"/>
            </w:tcBorders>
            <w:shd w:val="clear" w:color="auto" w:fill="auto"/>
            <w:vAlign w:val="center"/>
          </w:tcPr>
          <w:p w:rsidR="00C73FC7" w:rsidRPr="001B61AB" w:rsidRDefault="00C73FC7" w:rsidP="00024871">
            <w:pPr>
              <w:jc w:val="center"/>
              <w:rPr>
                <w:b/>
                <w:sz w:val="20"/>
                <w:szCs w:val="20"/>
                <w:lang w:val="id-ID"/>
              </w:rPr>
            </w:pPr>
            <w:r w:rsidRPr="001B61AB">
              <w:rPr>
                <w:b/>
                <w:sz w:val="20"/>
                <w:szCs w:val="20"/>
                <w:lang w:val="id-ID"/>
              </w:rPr>
              <w:t>N</w:t>
            </w:r>
          </w:p>
        </w:tc>
        <w:tc>
          <w:tcPr>
            <w:tcW w:w="884" w:type="dxa"/>
            <w:tcBorders>
              <w:bottom w:val="single" w:sz="4" w:space="0" w:color="auto"/>
            </w:tcBorders>
            <w:shd w:val="clear" w:color="auto" w:fill="auto"/>
            <w:vAlign w:val="center"/>
          </w:tcPr>
          <w:p w:rsidR="00C73FC7" w:rsidRPr="001B61AB" w:rsidRDefault="00C73FC7" w:rsidP="00024871">
            <w:pPr>
              <w:jc w:val="center"/>
              <w:rPr>
                <w:b/>
                <w:sz w:val="20"/>
                <w:szCs w:val="20"/>
              </w:rPr>
            </w:pPr>
            <w:r w:rsidRPr="001B61AB">
              <w:rPr>
                <w:b/>
                <w:sz w:val="20"/>
                <w:szCs w:val="20"/>
              </w:rPr>
              <w:t>%</w:t>
            </w:r>
          </w:p>
        </w:tc>
      </w:tr>
      <w:tr w:rsidR="00C73FC7" w:rsidRPr="001B61AB" w:rsidTr="00C73FC7">
        <w:trPr>
          <w:trHeight w:val="343"/>
        </w:trPr>
        <w:tc>
          <w:tcPr>
            <w:tcW w:w="2108" w:type="dxa"/>
            <w:tcBorders>
              <w:top w:val="single" w:sz="4" w:space="0" w:color="auto"/>
            </w:tcBorders>
            <w:shd w:val="clear" w:color="auto" w:fill="auto"/>
            <w:vAlign w:val="center"/>
          </w:tcPr>
          <w:p w:rsidR="00C73FC7" w:rsidRPr="001B61AB" w:rsidRDefault="00C73FC7" w:rsidP="00024871">
            <w:pPr>
              <w:jc w:val="both"/>
              <w:rPr>
                <w:b/>
                <w:sz w:val="20"/>
                <w:szCs w:val="20"/>
                <w:lang w:val="id-ID"/>
              </w:rPr>
            </w:pPr>
          </w:p>
        </w:tc>
        <w:tc>
          <w:tcPr>
            <w:tcW w:w="909" w:type="dxa"/>
            <w:tcBorders>
              <w:top w:val="single" w:sz="4" w:space="0" w:color="auto"/>
            </w:tcBorders>
            <w:shd w:val="clear" w:color="auto" w:fill="auto"/>
            <w:vAlign w:val="center"/>
          </w:tcPr>
          <w:p w:rsidR="00C73FC7" w:rsidRPr="001B61AB" w:rsidRDefault="00C73FC7" w:rsidP="00024871">
            <w:pPr>
              <w:jc w:val="both"/>
              <w:rPr>
                <w:b/>
                <w:sz w:val="20"/>
                <w:szCs w:val="20"/>
              </w:rPr>
            </w:pPr>
          </w:p>
        </w:tc>
        <w:tc>
          <w:tcPr>
            <w:tcW w:w="912" w:type="dxa"/>
            <w:tcBorders>
              <w:top w:val="single" w:sz="4" w:space="0" w:color="auto"/>
            </w:tcBorders>
            <w:shd w:val="clear" w:color="auto" w:fill="auto"/>
            <w:vAlign w:val="center"/>
          </w:tcPr>
          <w:p w:rsidR="00C73FC7" w:rsidRPr="001B61AB" w:rsidRDefault="00C73FC7" w:rsidP="00024871">
            <w:pPr>
              <w:jc w:val="both"/>
              <w:rPr>
                <w:b/>
                <w:sz w:val="20"/>
                <w:szCs w:val="20"/>
              </w:rPr>
            </w:pPr>
          </w:p>
        </w:tc>
        <w:tc>
          <w:tcPr>
            <w:tcW w:w="820" w:type="dxa"/>
            <w:tcBorders>
              <w:top w:val="single" w:sz="4" w:space="0" w:color="auto"/>
            </w:tcBorders>
            <w:shd w:val="clear" w:color="auto" w:fill="auto"/>
            <w:vAlign w:val="center"/>
          </w:tcPr>
          <w:p w:rsidR="00C73FC7" w:rsidRPr="001B61AB" w:rsidRDefault="00C73FC7" w:rsidP="00024871">
            <w:pPr>
              <w:jc w:val="both"/>
              <w:rPr>
                <w:b/>
                <w:sz w:val="20"/>
                <w:szCs w:val="20"/>
              </w:rPr>
            </w:pPr>
          </w:p>
        </w:tc>
        <w:tc>
          <w:tcPr>
            <w:tcW w:w="820" w:type="dxa"/>
            <w:tcBorders>
              <w:top w:val="single" w:sz="4" w:space="0" w:color="auto"/>
            </w:tcBorders>
            <w:shd w:val="clear" w:color="auto" w:fill="auto"/>
            <w:vAlign w:val="center"/>
          </w:tcPr>
          <w:p w:rsidR="00C73FC7" w:rsidRPr="001B61AB" w:rsidRDefault="00C73FC7" w:rsidP="00024871">
            <w:pPr>
              <w:jc w:val="both"/>
              <w:rPr>
                <w:b/>
                <w:sz w:val="20"/>
                <w:szCs w:val="20"/>
              </w:rPr>
            </w:pPr>
          </w:p>
        </w:tc>
        <w:tc>
          <w:tcPr>
            <w:tcW w:w="557" w:type="dxa"/>
            <w:tcBorders>
              <w:top w:val="single" w:sz="4" w:space="0" w:color="auto"/>
            </w:tcBorders>
            <w:shd w:val="clear" w:color="auto" w:fill="auto"/>
            <w:vAlign w:val="center"/>
          </w:tcPr>
          <w:p w:rsidR="00C73FC7" w:rsidRPr="001B61AB" w:rsidRDefault="00C73FC7" w:rsidP="00024871">
            <w:pPr>
              <w:jc w:val="both"/>
              <w:rPr>
                <w:b/>
                <w:sz w:val="20"/>
                <w:szCs w:val="20"/>
              </w:rPr>
            </w:pPr>
          </w:p>
        </w:tc>
        <w:tc>
          <w:tcPr>
            <w:tcW w:w="884" w:type="dxa"/>
            <w:tcBorders>
              <w:top w:val="single" w:sz="4" w:space="0" w:color="auto"/>
            </w:tcBorders>
            <w:shd w:val="clear" w:color="auto" w:fill="auto"/>
            <w:vAlign w:val="center"/>
          </w:tcPr>
          <w:p w:rsidR="00C73FC7" w:rsidRPr="001B61AB" w:rsidRDefault="00C73FC7" w:rsidP="00024871">
            <w:pPr>
              <w:jc w:val="both"/>
              <w:rPr>
                <w:b/>
                <w:sz w:val="20"/>
                <w:szCs w:val="20"/>
              </w:rPr>
            </w:pPr>
          </w:p>
        </w:tc>
      </w:tr>
      <w:tr w:rsidR="00C73FC7" w:rsidRPr="001B61AB" w:rsidTr="00C73FC7">
        <w:trPr>
          <w:trHeight w:val="351"/>
        </w:trPr>
        <w:tc>
          <w:tcPr>
            <w:tcW w:w="2108" w:type="dxa"/>
            <w:shd w:val="clear" w:color="auto" w:fill="auto"/>
            <w:vAlign w:val="center"/>
          </w:tcPr>
          <w:p w:rsidR="00C73FC7" w:rsidRPr="001B61AB" w:rsidRDefault="00C73FC7" w:rsidP="00C73FC7">
            <w:pPr>
              <w:numPr>
                <w:ilvl w:val="0"/>
                <w:numId w:val="38"/>
              </w:numPr>
              <w:suppressAutoHyphens w:val="0"/>
              <w:jc w:val="both"/>
              <w:rPr>
                <w:sz w:val="20"/>
                <w:szCs w:val="20"/>
                <w:lang w:val="id-ID"/>
              </w:rPr>
            </w:pPr>
            <w:r w:rsidRPr="001B61AB">
              <w:rPr>
                <w:sz w:val="20"/>
                <w:szCs w:val="20"/>
                <w:lang w:val="id-ID"/>
              </w:rPr>
              <w:t>Laki-laki</w:t>
            </w:r>
          </w:p>
        </w:tc>
        <w:tc>
          <w:tcPr>
            <w:tcW w:w="909" w:type="dxa"/>
            <w:shd w:val="clear" w:color="auto" w:fill="auto"/>
            <w:vAlign w:val="center"/>
          </w:tcPr>
          <w:p w:rsidR="00C73FC7" w:rsidRPr="001B61AB" w:rsidRDefault="00C73FC7" w:rsidP="00024871">
            <w:pPr>
              <w:autoSpaceDE w:val="0"/>
              <w:autoSpaceDN w:val="0"/>
              <w:adjustRightInd w:val="0"/>
              <w:jc w:val="center"/>
              <w:rPr>
                <w:color w:val="000000"/>
                <w:sz w:val="20"/>
                <w:szCs w:val="20"/>
              </w:rPr>
            </w:pPr>
            <w:r w:rsidRPr="001B61AB">
              <w:rPr>
                <w:color w:val="000000"/>
                <w:sz w:val="20"/>
                <w:szCs w:val="20"/>
                <w:lang w:val="id-ID"/>
              </w:rPr>
              <w:t xml:space="preserve">  </w:t>
            </w:r>
            <w:r w:rsidRPr="001B61AB">
              <w:rPr>
                <w:color w:val="000000"/>
                <w:sz w:val="20"/>
                <w:szCs w:val="20"/>
              </w:rPr>
              <w:t>8</w:t>
            </w:r>
          </w:p>
        </w:tc>
        <w:tc>
          <w:tcPr>
            <w:tcW w:w="912" w:type="dxa"/>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30,77</w:t>
            </w:r>
          </w:p>
        </w:tc>
        <w:tc>
          <w:tcPr>
            <w:tcW w:w="820" w:type="dxa"/>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 xml:space="preserve">  3</w:t>
            </w:r>
          </w:p>
        </w:tc>
        <w:tc>
          <w:tcPr>
            <w:tcW w:w="820" w:type="dxa"/>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11,54</w:t>
            </w:r>
          </w:p>
        </w:tc>
        <w:tc>
          <w:tcPr>
            <w:tcW w:w="557" w:type="dxa"/>
            <w:shd w:val="clear" w:color="auto" w:fill="auto"/>
            <w:vAlign w:val="center"/>
          </w:tcPr>
          <w:p w:rsidR="00C73FC7" w:rsidRPr="001B61AB" w:rsidRDefault="00C73FC7" w:rsidP="00024871">
            <w:pPr>
              <w:jc w:val="center"/>
              <w:rPr>
                <w:sz w:val="20"/>
                <w:szCs w:val="20"/>
                <w:lang w:val="id-ID"/>
              </w:rPr>
            </w:pPr>
            <w:r w:rsidRPr="001B61AB">
              <w:rPr>
                <w:sz w:val="20"/>
                <w:szCs w:val="20"/>
                <w:lang w:val="id-ID"/>
              </w:rPr>
              <w:t>11</w:t>
            </w:r>
          </w:p>
        </w:tc>
        <w:tc>
          <w:tcPr>
            <w:tcW w:w="884" w:type="dxa"/>
            <w:shd w:val="clear" w:color="auto" w:fill="auto"/>
            <w:vAlign w:val="center"/>
          </w:tcPr>
          <w:p w:rsidR="00C73FC7" w:rsidRPr="001B61AB" w:rsidRDefault="00C73FC7" w:rsidP="00024871">
            <w:pPr>
              <w:jc w:val="center"/>
              <w:rPr>
                <w:sz w:val="20"/>
                <w:szCs w:val="20"/>
                <w:lang w:val="id-ID"/>
              </w:rPr>
            </w:pPr>
            <w:r w:rsidRPr="001B61AB">
              <w:rPr>
                <w:sz w:val="20"/>
                <w:szCs w:val="20"/>
                <w:lang w:val="id-ID"/>
              </w:rPr>
              <w:t>42</w:t>
            </w:r>
            <w:r w:rsidRPr="001B61AB">
              <w:rPr>
                <w:sz w:val="20"/>
                <w:szCs w:val="20"/>
              </w:rPr>
              <w:t>,</w:t>
            </w:r>
            <w:r w:rsidRPr="001B61AB">
              <w:rPr>
                <w:sz w:val="20"/>
                <w:szCs w:val="20"/>
                <w:lang w:val="id-ID"/>
              </w:rPr>
              <w:t>31</w:t>
            </w:r>
          </w:p>
        </w:tc>
      </w:tr>
      <w:tr w:rsidR="00C73FC7" w:rsidRPr="001B61AB" w:rsidTr="00C73FC7">
        <w:trPr>
          <w:trHeight w:val="343"/>
        </w:trPr>
        <w:tc>
          <w:tcPr>
            <w:tcW w:w="2108" w:type="dxa"/>
            <w:tcBorders>
              <w:bottom w:val="single" w:sz="4" w:space="0" w:color="auto"/>
            </w:tcBorders>
            <w:shd w:val="clear" w:color="auto" w:fill="auto"/>
            <w:vAlign w:val="center"/>
          </w:tcPr>
          <w:p w:rsidR="00C73FC7" w:rsidRPr="001B61AB" w:rsidRDefault="00C73FC7" w:rsidP="00C73FC7">
            <w:pPr>
              <w:numPr>
                <w:ilvl w:val="0"/>
                <w:numId w:val="38"/>
              </w:numPr>
              <w:suppressAutoHyphens w:val="0"/>
              <w:jc w:val="both"/>
              <w:rPr>
                <w:sz w:val="20"/>
                <w:szCs w:val="20"/>
                <w:lang w:val="id-ID"/>
              </w:rPr>
            </w:pPr>
            <w:r w:rsidRPr="001B61AB">
              <w:rPr>
                <w:sz w:val="20"/>
                <w:szCs w:val="20"/>
                <w:lang w:val="id-ID"/>
              </w:rPr>
              <w:t>Perempuan</w:t>
            </w:r>
          </w:p>
        </w:tc>
        <w:tc>
          <w:tcPr>
            <w:tcW w:w="909" w:type="dxa"/>
            <w:tcBorders>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rPr>
            </w:pPr>
            <w:r w:rsidRPr="001B61AB">
              <w:rPr>
                <w:color w:val="000000"/>
                <w:sz w:val="20"/>
                <w:szCs w:val="20"/>
                <w:lang w:val="id-ID"/>
              </w:rPr>
              <w:t xml:space="preserve">  </w:t>
            </w:r>
            <w:r w:rsidRPr="001B61AB">
              <w:rPr>
                <w:color w:val="000000"/>
                <w:sz w:val="20"/>
                <w:szCs w:val="20"/>
              </w:rPr>
              <w:t>8</w:t>
            </w:r>
          </w:p>
        </w:tc>
        <w:tc>
          <w:tcPr>
            <w:tcW w:w="912" w:type="dxa"/>
            <w:tcBorders>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30,77</w:t>
            </w:r>
          </w:p>
        </w:tc>
        <w:tc>
          <w:tcPr>
            <w:tcW w:w="820" w:type="dxa"/>
            <w:tcBorders>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rPr>
            </w:pPr>
            <w:r w:rsidRPr="001B61AB">
              <w:rPr>
                <w:color w:val="000000"/>
                <w:sz w:val="20"/>
                <w:szCs w:val="20"/>
                <w:lang w:val="id-ID"/>
              </w:rPr>
              <w:t xml:space="preserve">  </w:t>
            </w:r>
            <w:r w:rsidRPr="001B61AB">
              <w:rPr>
                <w:color w:val="000000"/>
                <w:sz w:val="20"/>
                <w:szCs w:val="20"/>
              </w:rPr>
              <w:t>7</w:t>
            </w:r>
          </w:p>
        </w:tc>
        <w:tc>
          <w:tcPr>
            <w:tcW w:w="820" w:type="dxa"/>
            <w:tcBorders>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26,92</w:t>
            </w:r>
          </w:p>
        </w:tc>
        <w:tc>
          <w:tcPr>
            <w:tcW w:w="557" w:type="dxa"/>
            <w:tcBorders>
              <w:bottom w:val="single" w:sz="4" w:space="0" w:color="auto"/>
            </w:tcBorders>
            <w:shd w:val="clear" w:color="auto" w:fill="auto"/>
            <w:vAlign w:val="center"/>
          </w:tcPr>
          <w:p w:rsidR="00C73FC7" w:rsidRPr="001B61AB" w:rsidRDefault="00C73FC7" w:rsidP="00024871">
            <w:pPr>
              <w:jc w:val="center"/>
              <w:rPr>
                <w:sz w:val="20"/>
                <w:szCs w:val="20"/>
                <w:lang w:val="id-ID"/>
              </w:rPr>
            </w:pPr>
            <w:r w:rsidRPr="001B61AB">
              <w:rPr>
                <w:sz w:val="20"/>
                <w:szCs w:val="20"/>
                <w:lang w:val="id-ID"/>
              </w:rPr>
              <w:t>15</w:t>
            </w:r>
          </w:p>
        </w:tc>
        <w:tc>
          <w:tcPr>
            <w:tcW w:w="884" w:type="dxa"/>
            <w:tcBorders>
              <w:bottom w:val="single" w:sz="4" w:space="0" w:color="auto"/>
            </w:tcBorders>
            <w:shd w:val="clear" w:color="auto" w:fill="auto"/>
            <w:vAlign w:val="center"/>
          </w:tcPr>
          <w:p w:rsidR="00C73FC7" w:rsidRPr="001B61AB" w:rsidRDefault="00C73FC7" w:rsidP="00024871">
            <w:pPr>
              <w:jc w:val="center"/>
              <w:rPr>
                <w:sz w:val="20"/>
                <w:szCs w:val="20"/>
                <w:lang w:val="id-ID"/>
              </w:rPr>
            </w:pPr>
            <w:r w:rsidRPr="001B61AB">
              <w:rPr>
                <w:sz w:val="20"/>
                <w:szCs w:val="20"/>
                <w:lang w:val="id-ID"/>
              </w:rPr>
              <w:t>57</w:t>
            </w:r>
            <w:r w:rsidRPr="001B61AB">
              <w:rPr>
                <w:sz w:val="20"/>
                <w:szCs w:val="20"/>
              </w:rPr>
              <w:t>,</w:t>
            </w:r>
            <w:r w:rsidRPr="001B61AB">
              <w:rPr>
                <w:sz w:val="20"/>
                <w:szCs w:val="20"/>
                <w:lang w:val="id-ID"/>
              </w:rPr>
              <w:t>69</w:t>
            </w:r>
          </w:p>
        </w:tc>
      </w:tr>
      <w:tr w:rsidR="00C73FC7" w:rsidRPr="001B61AB" w:rsidTr="00C73FC7">
        <w:trPr>
          <w:trHeight w:val="343"/>
        </w:trPr>
        <w:tc>
          <w:tcPr>
            <w:tcW w:w="2108" w:type="dxa"/>
            <w:tcBorders>
              <w:top w:val="single" w:sz="4" w:space="0" w:color="auto"/>
              <w:bottom w:val="single" w:sz="4" w:space="0" w:color="auto"/>
            </w:tcBorders>
            <w:shd w:val="clear" w:color="auto" w:fill="auto"/>
            <w:vAlign w:val="center"/>
          </w:tcPr>
          <w:p w:rsidR="00C73FC7" w:rsidRPr="001B61AB" w:rsidRDefault="00C73FC7" w:rsidP="00024871">
            <w:pPr>
              <w:ind w:left="720"/>
              <w:jc w:val="center"/>
              <w:rPr>
                <w:sz w:val="20"/>
                <w:szCs w:val="20"/>
                <w:lang w:val="id-ID"/>
              </w:rPr>
            </w:pPr>
            <w:r w:rsidRPr="001B61AB">
              <w:rPr>
                <w:sz w:val="20"/>
                <w:szCs w:val="20"/>
              </w:rPr>
              <w:t>Total</w:t>
            </w:r>
          </w:p>
        </w:tc>
        <w:tc>
          <w:tcPr>
            <w:tcW w:w="909" w:type="dxa"/>
            <w:tcBorders>
              <w:top w:val="single" w:sz="4" w:space="0" w:color="auto"/>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rPr>
            </w:pPr>
            <w:r w:rsidRPr="001B61AB">
              <w:rPr>
                <w:color w:val="000000"/>
                <w:sz w:val="20"/>
                <w:szCs w:val="20"/>
              </w:rPr>
              <w:t>16</w:t>
            </w:r>
          </w:p>
        </w:tc>
        <w:tc>
          <w:tcPr>
            <w:tcW w:w="912" w:type="dxa"/>
            <w:tcBorders>
              <w:top w:val="single" w:sz="4" w:space="0" w:color="auto"/>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61,54</w:t>
            </w:r>
          </w:p>
        </w:tc>
        <w:tc>
          <w:tcPr>
            <w:tcW w:w="820" w:type="dxa"/>
            <w:tcBorders>
              <w:top w:val="single" w:sz="4" w:space="0" w:color="auto"/>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10</w:t>
            </w:r>
          </w:p>
        </w:tc>
        <w:tc>
          <w:tcPr>
            <w:tcW w:w="820" w:type="dxa"/>
            <w:tcBorders>
              <w:top w:val="single" w:sz="4" w:space="0" w:color="auto"/>
              <w:bottom w:val="single" w:sz="4" w:space="0" w:color="auto"/>
            </w:tcBorders>
            <w:shd w:val="clear" w:color="auto" w:fill="auto"/>
            <w:vAlign w:val="center"/>
          </w:tcPr>
          <w:p w:rsidR="00C73FC7" w:rsidRPr="001B61AB" w:rsidRDefault="00C73FC7" w:rsidP="00024871">
            <w:pPr>
              <w:autoSpaceDE w:val="0"/>
              <w:autoSpaceDN w:val="0"/>
              <w:adjustRightInd w:val="0"/>
              <w:jc w:val="center"/>
              <w:rPr>
                <w:color w:val="000000"/>
                <w:sz w:val="20"/>
                <w:szCs w:val="20"/>
                <w:lang w:val="id-ID"/>
              </w:rPr>
            </w:pPr>
            <w:r w:rsidRPr="001B61AB">
              <w:rPr>
                <w:color w:val="000000"/>
                <w:sz w:val="20"/>
                <w:szCs w:val="20"/>
                <w:lang w:val="id-ID"/>
              </w:rPr>
              <w:t>38,46</w:t>
            </w:r>
          </w:p>
        </w:tc>
        <w:tc>
          <w:tcPr>
            <w:tcW w:w="557" w:type="dxa"/>
            <w:tcBorders>
              <w:top w:val="single" w:sz="4" w:space="0" w:color="auto"/>
              <w:bottom w:val="single" w:sz="4" w:space="0" w:color="auto"/>
            </w:tcBorders>
            <w:shd w:val="clear" w:color="auto" w:fill="auto"/>
            <w:vAlign w:val="center"/>
          </w:tcPr>
          <w:p w:rsidR="00C73FC7" w:rsidRPr="001B61AB" w:rsidRDefault="00C73FC7" w:rsidP="00024871">
            <w:pPr>
              <w:jc w:val="center"/>
              <w:rPr>
                <w:sz w:val="20"/>
                <w:szCs w:val="20"/>
              </w:rPr>
            </w:pPr>
            <w:r w:rsidRPr="001B61AB">
              <w:rPr>
                <w:sz w:val="20"/>
                <w:szCs w:val="20"/>
              </w:rPr>
              <w:t>26</w:t>
            </w:r>
          </w:p>
        </w:tc>
        <w:tc>
          <w:tcPr>
            <w:tcW w:w="884" w:type="dxa"/>
            <w:tcBorders>
              <w:top w:val="single" w:sz="4" w:space="0" w:color="auto"/>
              <w:bottom w:val="single" w:sz="4" w:space="0" w:color="auto"/>
            </w:tcBorders>
            <w:shd w:val="clear" w:color="auto" w:fill="auto"/>
            <w:vAlign w:val="center"/>
          </w:tcPr>
          <w:p w:rsidR="00C73FC7" w:rsidRPr="001B61AB" w:rsidRDefault="00C73FC7" w:rsidP="00024871">
            <w:pPr>
              <w:jc w:val="center"/>
              <w:rPr>
                <w:sz w:val="20"/>
                <w:szCs w:val="20"/>
              </w:rPr>
            </w:pPr>
            <w:r w:rsidRPr="001B61AB">
              <w:rPr>
                <w:sz w:val="20"/>
                <w:szCs w:val="20"/>
              </w:rPr>
              <w:t>100</w:t>
            </w:r>
          </w:p>
        </w:tc>
      </w:tr>
    </w:tbl>
    <w:p w:rsidR="00C73FC7" w:rsidRDefault="00C73FC7" w:rsidP="00CF7EDF">
      <w:pPr>
        <w:spacing w:line="360" w:lineRule="auto"/>
        <w:jc w:val="both"/>
        <w:rPr>
          <w:rFonts w:ascii="Arial" w:hAnsi="Arial" w:cs="Arial"/>
          <w:b/>
          <w:sz w:val="20"/>
          <w:szCs w:val="20"/>
          <w:lang w:val="id-ID"/>
        </w:rPr>
        <w:sectPr w:rsidR="00C73FC7" w:rsidSect="00C73FC7">
          <w:type w:val="continuous"/>
          <w:pgSz w:w="11907" w:h="16839" w:code="9"/>
          <w:pgMar w:top="2275" w:right="1699" w:bottom="1699" w:left="2275" w:header="720" w:footer="720" w:gutter="0"/>
          <w:cols w:space="720"/>
          <w:titlePg/>
          <w:docGrid w:linePitch="360"/>
        </w:sectPr>
      </w:pPr>
    </w:p>
    <w:p w:rsidR="00C73FC7" w:rsidRDefault="00C73FC7" w:rsidP="00CF7EDF">
      <w:pPr>
        <w:spacing w:line="360" w:lineRule="auto"/>
        <w:jc w:val="both"/>
        <w:rPr>
          <w:rFonts w:ascii="Arial" w:hAnsi="Arial" w:cs="Arial"/>
          <w:b/>
          <w:sz w:val="20"/>
          <w:szCs w:val="20"/>
          <w:lang w:val="id-ID"/>
        </w:rPr>
      </w:pPr>
    </w:p>
    <w:p w:rsidR="00C73FC7" w:rsidRDefault="006D5D6C" w:rsidP="00CF7EDF">
      <w:pPr>
        <w:spacing w:line="360" w:lineRule="auto"/>
        <w:jc w:val="both"/>
        <w:rPr>
          <w:rFonts w:ascii="Arial" w:hAnsi="Arial" w:cs="Arial"/>
          <w:b/>
          <w:sz w:val="20"/>
          <w:szCs w:val="20"/>
          <w:lang w:val="id-ID"/>
        </w:rPr>
      </w:pPr>
      <w:r>
        <w:rPr>
          <w:rFonts w:ascii="Arial" w:hAnsi="Arial" w:cs="Arial"/>
          <w:b/>
          <w:sz w:val="20"/>
          <w:szCs w:val="20"/>
          <w:lang w:val="id-ID"/>
        </w:rPr>
        <w:t>Pembahasan</w:t>
      </w:r>
    </w:p>
    <w:p w:rsidR="006D5D6C" w:rsidRPr="006D5D6C" w:rsidRDefault="006D5D6C" w:rsidP="006D5D6C">
      <w:pPr>
        <w:autoSpaceDE w:val="0"/>
        <w:autoSpaceDN w:val="0"/>
        <w:adjustRightInd w:val="0"/>
        <w:spacing w:line="360" w:lineRule="auto"/>
        <w:ind w:firstLine="425"/>
        <w:jc w:val="both"/>
        <w:rPr>
          <w:rFonts w:ascii="Arial" w:hAnsi="Arial" w:cs="Arial"/>
          <w:sz w:val="20"/>
          <w:szCs w:val="20"/>
          <w:lang w:val="id-ID"/>
        </w:rPr>
      </w:pPr>
      <w:r w:rsidRPr="006D5D6C">
        <w:rPr>
          <w:rFonts w:ascii="Arial" w:hAnsi="Arial" w:cs="Arial"/>
          <w:sz w:val="20"/>
          <w:szCs w:val="20"/>
          <w:lang w:val="id-ID"/>
        </w:rPr>
        <w:t>Dalam penelitian ini batas normal (</w:t>
      </w:r>
      <w:r w:rsidRPr="006D5D6C">
        <w:rPr>
          <w:rFonts w:ascii="Arial" w:hAnsi="Arial" w:cs="Arial"/>
          <w:i/>
          <w:sz w:val="20"/>
          <w:szCs w:val="20"/>
          <w:lang w:val="id-ID"/>
        </w:rPr>
        <w:t>cut off point</w:t>
      </w:r>
      <w:r w:rsidRPr="006D5D6C">
        <w:rPr>
          <w:rFonts w:ascii="Arial" w:hAnsi="Arial" w:cs="Arial"/>
          <w:sz w:val="20"/>
          <w:szCs w:val="20"/>
          <w:lang w:val="id-ID"/>
        </w:rPr>
        <w:t>) kadar hemoglobin siswa SMP Negeri 2 Tanjung dengan patokan kadar hemoglobin rata-rata populasi -1 SD adalah 12,00</w:t>
      </w:r>
      <w:r w:rsidRPr="006D5D6C">
        <w:rPr>
          <w:rFonts w:ascii="Arial" w:hAnsi="Arial" w:cs="Arial"/>
          <w:sz w:val="20"/>
          <w:szCs w:val="20"/>
        </w:rPr>
        <w:t xml:space="preserve"> g/dl</w:t>
      </w:r>
      <w:r w:rsidRPr="006D5D6C">
        <w:rPr>
          <w:rFonts w:ascii="Arial" w:hAnsi="Arial" w:cs="Arial"/>
          <w:sz w:val="20"/>
          <w:szCs w:val="20"/>
          <w:lang w:val="id-ID"/>
        </w:rPr>
        <w:t>. Batas nilai normal kadar hemoglobin ini sesuai dengan yang digunakan WHO pada tahun 2008 untuk anak usia 12-15 tahun di daerah pantai yaitu 12 g/dl. Hasil penelitian ini juga sejalan dengan SK Menkes RI Nomor: 736a/Menkes /XI/1989 yang menyatakan bahwa kadar Hb anemia anak usia sekolah a</w:t>
      </w:r>
      <w:r w:rsidR="00C70966">
        <w:rPr>
          <w:rFonts w:ascii="Arial" w:hAnsi="Arial" w:cs="Arial"/>
          <w:sz w:val="20"/>
          <w:szCs w:val="20"/>
          <w:lang w:val="id-ID"/>
        </w:rPr>
        <w:t>dalah &lt;12 g/dl</w:t>
      </w:r>
      <w:r w:rsidRPr="006D5D6C">
        <w:rPr>
          <w:rFonts w:ascii="Arial" w:hAnsi="Arial" w:cs="Arial"/>
          <w:sz w:val="20"/>
          <w:szCs w:val="20"/>
          <w:lang w:val="id-ID"/>
        </w:rPr>
        <w:t>.</w:t>
      </w:r>
      <w:r w:rsidR="00C70966">
        <w:rPr>
          <w:rFonts w:ascii="Arial" w:hAnsi="Arial" w:cs="Arial"/>
          <w:sz w:val="20"/>
          <w:szCs w:val="20"/>
          <w:vertAlign w:val="superscript"/>
          <w:lang w:val="id-ID"/>
        </w:rPr>
        <w:t>11</w:t>
      </w:r>
      <w:r w:rsidRPr="006D5D6C">
        <w:rPr>
          <w:rFonts w:ascii="Arial" w:hAnsi="Arial" w:cs="Arial"/>
          <w:sz w:val="20"/>
          <w:szCs w:val="20"/>
        </w:rPr>
        <w:t xml:space="preserve"> </w:t>
      </w:r>
    </w:p>
    <w:p w:rsidR="006D5D6C" w:rsidRPr="006D5D6C" w:rsidRDefault="006D5D6C" w:rsidP="006D5D6C">
      <w:pPr>
        <w:autoSpaceDE w:val="0"/>
        <w:autoSpaceDN w:val="0"/>
        <w:adjustRightInd w:val="0"/>
        <w:spacing w:line="360" w:lineRule="auto"/>
        <w:ind w:firstLine="425"/>
        <w:jc w:val="both"/>
        <w:rPr>
          <w:rFonts w:ascii="Arial" w:hAnsi="Arial" w:cs="Arial"/>
          <w:sz w:val="20"/>
          <w:szCs w:val="20"/>
          <w:lang w:val="id-ID"/>
        </w:rPr>
      </w:pPr>
      <w:r w:rsidRPr="006D5D6C">
        <w:rPr>
          <w:rFonts w:ascii="Arial" w:hAnsi="Arial" w:cs="Arial"/>
          <w:sz w:val="20"/>
          <w:szCs w:val="20"/>
          <w:lang w:val="id-ID"/>
        </w:rPr>
        <w:t>J</w:t>
      </w:r>
      <w:r w:rsidRPr="006D5D6C">
        <w:rPr>
          <w:rFonts w:ascii="Arial" w:hAnsi="Arial" w:cs="Arial"/>
          <w:sz w:val="20"/>
          <w:szCs w:val="20"/>
        </w:rPr>
        <w:t xml:space="preserve">umlah </w:t>
      </w:r>
      <w:r w:rsidRPr="006D5D6C">
        <w:rPr>
          <w:rFonts w:ascii="Arial" w:hAnsi="Arial" w:cs="Arial"/>
          <w:sz w:val="20"/>
          <w:szCs w:val="20"/>
          <w:lang w:val="id-ID"/>
        </w:rPr>
        <w:t>siswa</w:t>
      </w:r>
      <w:r w:rsidRPr="006D5D6C">
        <w:rPr>
          <w:rFonts w:ascii="Arial" w:hAnsi="Arial" w:cs="Arial"/>
          <w:sz w:val="20"/>
          <w:szCs w:val="20"/>
        </w:rPr>
        <w:t xml:space="preserve"> yang menderita anemia berdasarkan </w:t>
      </w:r>
      <w:r w:rsidRPr="006D5D6C">
        <w:rPr>
          <w:rFonts w:ascii="Arial" w:hAnsi="Arial" w:cs="Arial"/>
          <w:sz w:val="20"/>
          <w:szCs w:val="20"/>
          <w:lang w:val="id-ID"/>
        </w:rPr>
        <w:t xml:space="preserve">batas normal </w:t>
      </w:r>
      <w:r w:rsidRPr="006D5D6C">
        <w:rPr>
          <w:rFonts w:ascii="Arial" w:hAnsi="Arial" w:cs="Arial"/>
          <w:sz w:val="20"/>
          <w:szCs w:val="20"/>
        </w:rPr>
        <w:t xml:space="preserve">kadar Hb </w:t>
      </w:r>
      <w:r w:rsidRPr="006D5D6C">
        <w:rPr>
          <w:rFonts w:ascii="Arial" w:hAnsi="Arial" w:cs="Arial"/>
          <w:sz w:val="20"/>
          <w:szCs w:val="20"/>
          <w:lang w:val="id-ID"/>
        </w:rPr>
        <w:t xml:space="preserve">populasi </w:t>
      </w:r>
      <w:r w:rsidRPr="006D5D6C">
        <w:rPr>
          <w:rFonts w:ascii="Arial" w:hAnsi="Arial" w:cs="Arial"/>
          <w:sz w:val="20"/>
          <w:szCs w:val="20"/>
        </w:rPr>
        <w:t>tersebut</w:t>
      </w:r>
      <w:r w:rsidRPr="006D5D6C">
        <w:rPr>
          <w:rFonts w:ascii="Arial" w:hAnsi="Arial" w:cs="Arial"/>
          <w:sz w:val="20"/>
          <w:szCs w:val="20"/>
          <w:lang w:val="id-ID"/>
        </w:rPr>
        <w:t xml:space="preserve"> </w:t>
      </w:r>
      <w:r w:rsidRPr="006D5D6C">
        <w:rPr>
          <w:rFonts w:ascii="Arial" w:hAnsi="Arial" w:cs="Arial"/>
          <w:sz w:val="20"/>
          <w:szCs w:val="20"/>
        </w:rPr>
        <w:t>adalah 26 orang</w:t>
      </w:r>
      <w:r w:rsidRPr="006D5D6C">
        <w:rPr>
          <w:rFonts w:ascii="Arial" w:hAnsi="Arial" w:cs="Arial"/>
          <w:sz w:val="20"/>
          <w:szCs w:val="20"/>
          <w:lang w:val="id-ID"/>
        </w:rPr>
        <w:t xml:space="preserve"> (12,94%) dari 201 responden</w:t>
      </w:r>
      <w:r w:rsidRPr="006D5D6C">
        <w:rPr>
          <w:rFonts w:ascii="Arial" w:hAnsi="Arial" w:cs="Arial"/>
          <w:sz w:val="20"/>
          <w:szCs w:val="20"/>
        </w:rPr>
        <w:t>.</w:t>
      </w:r>
      <w:r w:rsidRPr="006D5D6C">
        <w:rPr>
          <w:rFonts w:ascii="Arial" w:hAnsi="Arial" w:cs="Arial"/>
          <w:sz w:val="20"/>
          <w:szCs w:val="20"/>
          <w:lang w:val="id-ID"/>
        </w:rPr>
        <w:t xml:space="preserve"> Angka kejadian tersebut tidak berbeda jauh dari penelitian yang dilakukan oleh Manampiring dan Warou terhadap siswa SMP di Manado, yaitu 18 orang (19,8%) dari 91 respo</w:t>
      </w:r>
      <w:r w:rsidR="00C70966">
        <w:rPr>
          <w:rFonts w:ascii="Arial" w:hAnsi="Arial" w:cs="Arial"/>
          <w:sz w:val="20"/>
          <w:szCs w:val="20"/>
          <w:lang w:val="id-ID"/>
        </w:rPr>
        <w:t>nden</w:t>
      </w:r>
      <w:r w:rsidRPr="006D5D6C">
        <w:rPr>
          <w:rFonts w:ascii="Arial" w:hAnsi="Arial" w:cs="Arial"/>
          <w:sz w:val="20"/>
          <w:szCs w:val="20"/>
          <w:lang w:val="id-ID"/>
        </w:rPr>
        <w:t>.</w:t>
      </w:r>
      <w:r w:rsidR="00C70966">
        <w:rPr>
          <w:rFonts w:ascii="Arial" w:hAnsi="Arial" w:cs="Arial"/>
          <w:sz w:val="20"/>
          <w:szCs w:val="20"/>
          <w:vertAlign w:val="superscript"/>
          <w:lang w:val="id-ID"/>
        </w:rPr>
        <w:t>5</w:t>
      </w:r>
      <w:r w:rsidRPr="006D5D6C">
        <w:rPr>
          <w:rFonts w:ascii="Arial" w:hAnsi="Arial" w:cs="Arial"/>
          <w:sz w:val="20"/>
          <w:szCs w:val="20"/>
          <w:lang w:val="id-ID"/>
        </w:rPr>
        <w:t xml:space="preserve"> </w:t>
      </w:r>
    </w:p>
    <w:p w:rsidR="006D5D6C" w:rsidRDefault="006D5D6C" w:rsidP="006D5D6C">
      <w:pPr>
        <w:autoSpaceDE w:val="0"/>
        <w:autoSpaceDN w:val="0"/>
        <w:adjustRightInd w:val="0"/>
        <w:spacing w:line="360" w:lineRule="auto"/>
        <w:ind w:firstLine="425"/>
        <w:jc w:val="both"/>
        <w:rPr>
          <w:rFonts w:ascii="Arial" w:hAnsi="Arial" w:cs="Arial"/>
          <w:sz w:val="20"/>
          <w:szCs w:val="20"/>
          <w:lang w:val="id-ID"/>
        </w:rPr>
      </w:pPr>
      <w:r w:rsidRPr="006D5D6C">
        <w:rPr>
          <w:rFonts w:ascii="Arial" w:hAnsi="Arial" w:cs="Arial"/>
          <w:sz w:val="20"/>
          <w:szCs w:val="20"/>
        </w:rPr>
        <w:t>Anak perempuan lebih banyak menderita anemia (57,</w:t>
      </w:r>
      <w:r w:rsidRPr="006D5D6C">
        <w:rPr>
          <w:rFonts w:ascii="Arial" w:hAnsi="Arial" w:cs="Arial"/>
          <w:sz w:val="20"/>
          <w:szCs w:val="20"/>
          <w:lang w:val="id-ID"/>
        </w:rPr>
        <w:t>69</w:t>
      </w:r>
      <w:r w:rsidRPr="006D5D6C">
        <w:rPr>
          <w:rFonts w:ascii="Arial" w:hAnsi="Arial" w:cs="Arial"/>
          <w:sz w:val="20"/>
          <w:szCs w:val="20"/>
        </w:rPr>
        <w:t xml:space="preserve">%) daripada </w:t>
      </w:r>
    </w:p>
    <w:p w:rsidR="006D5D6C" w:rsidRDefault="006D5D6C" w:rsidP="006D5D6C">
      <w:pPr>
        <w:autoSpaceDE w:val="0"/>
        <w:autoSpaceDN w:val="0"/>
        <w:adjustRightInd w:val="0"/>
        <w:spacing w:line="360" w:lineRule="auto"/>
        <w:jc w:val="both"/>
        <w:rPr>
          <w:rFonts w:ascii="Arial" w:hAnsi="Arial" w:cs="Arial"/>
          <w:sz w:val="20"/>
          <w:szCs w:val="20"/>
          <w:lang w:val="id-ID"/>
        </w:rPr>
      </w:pPr>
    </w:p>
    <w:p w:rsidR="00C70966" w:rsidRDefault="00C70966" w:rsidP="006D5D6C">
      <w:pPr>
        <w:autoSpaceDE w:val="0"/>
        <w:autoSpaceDN w:val="0"/>
        <w:adjustRightInd w:val="0"/>
        <w:spacing w:line="360" w:lineRule="auto"/>
        <w:jc w:val="both"/>
        <w:rPr>
          <w:rFonts w:ascii="Arial" w:hAnsi="Arial" w:cs="Arial"/>
          <w:sz w:val="20"/>
          <w:szCs w:val="20"/>
          <w:lang w:val="id-ID"/>
        </w:rPr>
      </w:pPr>
    </w:p>
    <w:p w:rsidR="00C70966" w:rsidRDefault="00C70966" w:rsidP="006D5D6C">
      <w:pPr>
        <w:autoSpaceDE w:val="0"/>
        <w:autoSpaceDN w:val="0"/>
        <w:adjustRightInd w:val="0"/>
        <w:spacing w:line="360" w:lineRule="auto"/>
        <w:jc w:val="both"/>
        <w:rPr>
          <w:rFonts w:ascii="Arial" w:hAnsi="Arial" w:cs="Arial"/>
          <w:sz w:val="20"/>
          <w:szCs w:val="20"/>
          <w:lang w:val="id-ID"/>
        </w:rPr>
      </w:pPr>
    </w:p>
    <w:p w:rsidR="006D5D6C" w:rsidRPr="002D1A8A" w:rsidRDefault="006D5D6C" w:rsidP="006D5D6C">
      <w:pPr>
        <w:autoSpaceDE w:val="0"/>
        <w:autoSpaceDN w:val="0"/>
        <w:adjustRightInd w:val="0"/>
        <w:spacing w:line="360" w:lineRule="auto"/>
        <w:jc w:val="both"/>
        <w:rPr>
          <w:rFonts w:ascii="Arial" w:hAnsi="Arial" w:cs="Arial"/>
          <w:sz w:val="20"/>
          <w:szCs w:val="20"/>
          <w:vertAlign w:val="superscript"/>
          <w:lang w:val="id-ID"/>
        </w:rPr>
      </w:pPr>
      <w:r w:rsidRPr="006D5D6C">
        <w:rPr>
          <w:rFonts w:ascii="Arial" w:hAnsi="Arial" w:cs="Arial"/>
          <w:sz w:val="20"/>
          <w:szCs w:val="20"/>
        </w:rPr>
        <w:t>anak laki-laki (42,3</w:t>
      </w:r>
      <w:r w:rsidRPr="006D5D6C">
        <w:rPr>
          <w:rFonts w:ascii="Arial" w:hAnsi="Arial" w:cs="Arial"/>
          <w:sz w:val="20"/>
          <w:szCs w:val="20"/>
          <w:lang w:val="id-ID"/>
        </w:rPr>
        <w:t>1</w:t>
      </w:r>
      <w:r w:rsidRPr="006D5D6C">
        <w:rPr>
          <w:rFonts w:ascii="Arial" w:hAnsi="Arial" w:cs="Arial"/>
          <w:sz w:val="20"/>
          <w:szCs w:val="20"/>
        </w:rPr>
        <w:t xml:space="preserve">%). </w:t>
      </w:r>
      <w:r w:rsidRPr="006D5D6C">
        <w:rPr>
          <w:rFonts w:ascii="Arial" w:hAnsi="Arial" w:cs="Arial"/>
          <w:sz w:val="20"/>
          <w:szCs w:val="20"/>
          <w:lang w:val="id-ID"/>
        </w:rPr>
        <w:t>Demikian juga</w:t>
      </w:r>
      <w:r w:rsidRPr="006D5D6C">
        <w:rPr>
          <w:rFonts w:ascii="Arial" w:hAnsi="Arial" w:cs="Arial"/>
          <w:sz w:val="20"/>
          <w:szCs w:val="20"/>
        </w:rPr>
        <w:t xml:space="preserve"> dengan penelitian </w:t>
      </w:r>
      <w:r w:rsidRPr="006D5D6C">
        <w:rPr>
          <w:rFonts w:ascii="Arial" w:hAnsi="Arial" w:cs="Arial"/>
          <w:sz w:val="20"/>
          <w:szCs w:val="20"/>
          <w:lang w:val="id-ID"/>
        </w:rPr>
        <w:t>P</w:t>
      </w:r>
      <w:r w:rsidRPr="006D5D6C">
        <w:rPr>
          <w:rFonts w:ascii="Arial" w:hAnsi="Arial" w:cs="Arial"/>
          <w:sz w:val="20"/>
          <w:szCs w:val="20"/>
        </w:rPr>
        <w:t>ermaesih</w:t>
      </w:r>
      <w:r w:rsidRPr="006D5D6C">
        <w:rPr>
          <w:rFonts w:ascii="Arial" w:hAnsi="Arial" w:cs="Arial"/>
          <w:sz w:val="20"/>
          <w:szCs w:val="20"/>
          <w:lang w:val="id-ID"/>
        </w:rPr>
        <w:t xml:space="preserve"> &amp; Herman (2005), </w:t>
      </w:r>
      <w:r w:rsidRPr="006D5D6C">
        <w:rPr>
          <w:rFonts w:ascii="Arial" w:hAnsi="Arial" w:cs="Arial"/>
          <w:sz w:val="20"/>
          <w:szCs w:val="20"/>
        </w:rPr>
        <w:t xml:space="preserve">yaitu dijumpai remaja </w:t>
      </w:r>
      <w:r w:rsidRPr="006D5D6C">
        <w:rPr>
          <w:rFonts w:ascii="Arial" w:hAnsi="Arial" w:cs="Arial"/>
          <w:sz w:val="20"/>
          <w:szCs w:val="20"/>
          <w:lang w:val="id-ID"/>
        </w:rPr>
        <w:t>perempuan</w:t>
      </w:r>
      <w:r w:rsidRPr="006D5D6C">
        <w:rPr>
          <w:rFonts w:ascii="Arial" w:hAnsi="Arial" w:cs="Arial"/>
          <w:sz w:val="20"/>
          <w:szCs w:val="20"/>
        </w:rPr>
        <w:t xml:space="preserve"> </w:t>
      </w:r>
      <w:r w:rsidRPr="006D5D6C">
        <w:rPr>
          <w:rFonts w:ascii="Arial" w:hAnsi="Arial" w:cs="Arial"/>
          <w:sz w:val="20"/>
          <w:szCs w:val="20"/>
          <w:lang w:val="id-ID"/>
        </w:rPr>
        <w:t>lebih</w:t>
      </w:r>
      <w:r w:rsidRPr="006D5D6C">
        <w:rPr>
          <w:rFonts w:ascii="Arial" w:hAnsi="Arial" w:cs="Arial"/>
          <w:sz w:val="20"/>
          <w:szCs w:val="20"/>
        </w:rPr>
        <w:t xml:space="preserve"> ber</w:t>
      </w:r>
      <w:r w:rsidRPr="006D5D6C">
        <w:rPr>
          <w:rFonts w:ascii="Arial" w:hAnsi="Arial" w:cs="Arial"/>
          <w:sz w:val="20"/>
          <w:szCs w:val="20"/>
          <w:lang w:val="id-ID"/>
        </w:rPr>
        <w:t>i</w:t>
      </w:r>
      <w:r w:rsidRPr="006D5D6C">
        <w:rPr>
          <w:rFonts w:ascii="Arial" w:hAnsi="Arial" w:cs="Arial"/>
          <w:sz w:val="20"/>
          <w:szCs w:val="20"/>
        </w:rPr>
        <w:t xml:space="preserve">siko menderita anemia dibandingkan </w:t>
      </w:r>
      <w:r w:rsidRPr="006D5D6C">
        <w:rPr>
          <w:rFonts w:ascii="Arial" w:hAnsi="Arial" w:cs="Arial"/>
          <w:sz w:val="20"/>
          <w:szCs w:val="20"/>
          <w:lang w:val="id-ID"/>
        </w:rPr>
        <w:t xml:space="preserve">dengan </w:t>
      </w:r>
      <w:r w:rsidRPr="006D5D6C">
        <w:rPr>
          <w:rFonts w:ascii="Arial" w:hAnsi="Arial" w:cs="Arial"/>
          <w:sz w:val="20"/>
          <w:szCs w:val="20"/>
        </w:rPr>
        <w:t xml:space="preserve">remaja </w:t>
      </w:r>
      <w:r w:rsidRPr="006D5D6C">
        <w:rPr>
          <w:rFonts w:ascii="Arial" w:hAnsi="Arial" w:cs="Arial"/>
          <w:sz w:val="20"/>
          <w:szCs w:val="20"/>
          <w:lang w:val="id-ID"/>
        </w:rPr>
        <w:t>laki-laki</w:t>
      </w:r>
      <w:r w:rsidRPr="006D5D6C">
        <w:rPr>
          <w:rFonts w:ascii="Arial" w:hAnsi="Arial" w:cs="Arial"/>
          <w:sz w:val="20"/>
          <w:szCs w:val="20"/>
        </w:rPr>
        <w:t xml:space="preserve">, hal ini terjadi karena remaja perempuan mengalami periode menstruasi </w:t>
      </w:r>
      <w:r w:rsidRPr="006D5D6C">
        <w:rPr>
          <w:rFonts w:ascii="Arial" w:hAnsi="Arial" w:cs="Arial"/>
          <w:sz w:val="20"/>
          <w:szCs w:val="20"/>
          <w:lang w:val="id-ID"/>
        </w:rPr>
        <w:t xml:space="preserve">yang akan </w:t>
      </w:r>
      <w:r w:rsidRPr="006D5D6C">
        <w:rPr>
          <w:rFonts w:ascii="Arial" w:hAnsi="Arial" w:cs="Arial"/>
          <w:sz w:val="20"/>
          <w:szCs w:val="20"/>
        </w:rPr>
        <w:t>kehilangan zat besi sekitar 0,8 mg/hari</w:t>
      </w:r>
      <w:r w:rsidR="002D1A8A">
        <w:rPr>
          <w:rFonts w:ascii="Arial" w:hAnsi="Arial" w:cs="Arial"/>
          <w:sz w:val="20"/>
          <w:szCs w:val="20"/>
          <w:lang w:val="id-ID"/>
        </w:rPr>
        <w:t>.</w:t>
      </w:r>
      <w:r w:rsidR="002D1A8A">
        <w:rPr>
          <w:rFonts w:ascii="Arial" w:hAnsi="Arial" w:cs="Arial"/>
          <w:sz w:val="20"/>
          <w:szCs w:val="20"/>
          <w:vertAlign w:val="superscript"/>
          <w:lang w:val="id-ID"/>
        </w:rPr>
        <w:t>12</w:t>
      </w:r>
    </w:p>
    <w:p w:rsidR="006D5D6C" w:rsidRPr="006D5D6C" w:rsidRDefault="006D5D6C" w:rsidP="006D5D6C">
      <w:pPr>
        <w:spacing w:line="360" w:lineRule="auto"/>
        <w:ind w:firstLine="426"/>
        <w:jc w:val="both"/>
        <w:rPr>
          <w:rFonts w:ascii="Arial" w:hAnsi="Arial" w:cs="Arial"/>
          <w:sz w:val="20"/>
          <w:szCs w:val="20"/>
          <w:lang w:val="id-ID"/>
        </w:rPr>
      </w:pPr>
      <w:r w:rsidRPr="006D5D6C">
        <w:rPr>
          <w:rFonts w:ascii="Arial" w:hAnsi="Arial" w:cs="Arial"/>
          <w:sz w:val="20"/>
          <w:szCs w:val="20"/>
        </w:rPr>
        <w:t xml:space="preserve">Berdasarkan morfologinya dengan melihat indeks eritrosit </w:t>
      </w:r>
      <w:r w:rsidRPr="006D5D6C">
        <w:rPr>
          <w:rFonts w:ascii="Arial" w:hAnsi="Arial" w:cs="Arial"/>
          <w:sz w:val="20"/>
          <w:szCs w:val="20"/>
          <w:lang w:val="id-ID"/>
        </w:rPr>
        <w:t xml:space="preserve">pada </w:t>
      </w:r>
      <w:r w:rsidRPr="006D5D6C">
        <w:rPr>
          <w:rFonts w:ascii="Arial" w:hAnsi="Arial" w:cs="Arial"/>
          <w:sz w:val="20"/>
          <w:szCs w:val="20"/>
        </w:rPr>
        <w:t xml:space="preserve">anak yang </w:t>
      </w:r>
      <w:r w:rsidRPr="006D5D6C">
        <w:rPr>
          <w:rFonts w:ascii="Arial" w:hAnsi="Arial" w:cs="Arial"/>
          <w:sz w:val="20"/>
          <w:szCs w:val="20"/>
          <w:lang w:val="id-ID"/>
        </w:rPr>
        <w:t xml:space="preserve">mengalami </w:t>
      </w:r>
      <w:r w:rsidRPr="006D5D6C">
        <w:rPr>
          <w:rFonts w:ascii="Arial" w:hAnsi="Arial" w:cs="Arial"/>
          <w:sz w:val="20"/>
          <w:szCs w:val="20"/>
        </w:rPr>
        <w:t>anemia, jenis anemia yang terbanyak terjadi pada siswa SMP</w:t>
      </w:r>
      <w:r w:rsidRPr="006D5D6C">
        <w:rPr>
          <w:rFonts w:ascii="Arial" w:hAnsi="Arial" w:cs="Arial"/>
          <w:sz w:val="20"/>
          <w:szCs w:val="20"/>
          <w:lang w:val="id-ID"/>
        </w:rPr>
        <w:t xml:space="preserve"> </w:t>
      </w:r>
      <w:r w:rsidRPr="006D5D6C">
        <w:rPr>
          <w:rFonts w:ascii="Arial" w:hAnsi="Arial" w:cs="Arial"/>
          <w:sz w:val="20"/>
          <w:szCs w:val="20"/>
        </w:rPr>
        <w:t>N</w:t>
      </w:r>
      <w:r w:rsidRPr="006D5D6C">
        <w:rPr>
          <w:rFonts w:ascii="Arial" w:hAnsi="Arial" w:cs="Arial"/>
          <w:sz w:val="20"/>
          <w:szCs w:val="20"/>
          <w:lang w:val="id-ID"/>
        </w:rPr>
        <w:t>egeri</w:t>
      </w:r>
      <w:r w:rsidRPr="006D5D6C">
        <w:rPr>
          <w:rFonts w:ascii="Arial" w:hAnsi="Arial" w:cs="Arial"/>
          <w:sz w:val="20"/>
          <w:szCs w:val="20"/>
        </w:rPr>
        <w:t xml:space="preserve"> 2 Tanjung adalah mikrositik hipokromik </w:t>
      </w:r>
      <w:r w:rsidRPr="006D5D6C">
        <w:rPr>
          <w:rFonts w:ascii="Arial" w:hAnsi="Arial" w:cs="Arial"/>
          <w:sz w:val="20"/>
          <w:szCs w:val="20"/>
          <w:lang w:val="id-ID"/>
        </w:rPr>
        <w:t>sebanyak</w:t>
      </w:r>
      <w:r w:rsidRPr="006D5D6C">
        <w:rPr>
          <w:rFonts w:ascii="Arial" w:hAnsi="Arial" w:cs="Arial"/>
          <w:sz w:val="20"/>
          <w:szCs w:val="20"/>
        </w:rPr>
        <w:t xml:space="preserve"> 16 </w:t>
      </w:r>
      <w:r w:rsidRPr="006D5D6C">
        <w:rPr>
          <w:rFonts w:ascii="Arial" w:hAnsi="Arial" w:cs="Arial"/>
          <w:sz w:val="20"/>
          <w:szCs w:val="20"/>
          <w:lang w:val="id-ID"/>
        </w:rPr>
        <w:t>orang</w:t>
      </w:r>
      <w:r w:rsidRPr="006D5D6C">
        <w:rPr>
          <w:rFonts w:ascii="Arial" w:hAnsi="Arial" w:cs="Arial"/>
          <w:sz w:val="20"/>
          <w:szCs w:val="20"/>
        </w:rPr>
        <w:t xml:space="preserve"> (61,5</w:t>
      </w:r>
      <w:r w:rsidRPr="006D5D6C">
        <w:rPr>
          <w:rFonts w:ascii="Arial" w:hAnsi="Arial" w:cs="Arial"/>
          <w:sz w:val="20"/>
          <w:szCs w:val="20"/>
          <w:lang w:val="id-ID"/>
        </w:rPr>
        <w:t>4</w:t>
      </w:r>
      <w:r w:rsidRPr="006D5D6C">
        <w:rPr>
          <w:rFonts w:ascii="Arial" w:hAnsi="Arial" w:cs="Arial"/>
          <w:sz w:val="20"/>
          <w:szCs w:val="20"/>
        </w:rPr>
        <w:t>%)</w:t>
      </w:r>
      <w:r w:rsidRPr="006D5D6C">
        <w:rPr>
          <w:rFonts w:ascii="Arial" w:hAnsi="Arial" w:cs="Arial"/>
          <w:sz w:val="20"/>
          <w:szCs w:val="20"/>
          <w:lang w:val="id-ID"/>
        </w:rPr>
        <w:t xml:space="preserve">. </w:t>
      </w:r>
      <w:r w:rsidRPr="006D5D6C">
        <w:rPr>
          <w:rFonts w:ascii="Arial" w:hAnsi="Arial" w:cs="Arial"/>
          <w:sz w:val="20"/>
          <w:szCs w:val="20"/>
        </w:rPr>
        <w:t xml:space="preserve">Penyebab yang dapat menimbulkan anemia </w:t>
      </w:r>
      <w:r w:rsidRPr="006D5D6C">
        <w:rPr>
          <w:rFonts w:ascii="Arial" w:hAnsi="Arial" w:cs="Arial"/>
          <w:sz w:val="20"/>
          <w:szCs w:val="20"/>
          <w:lang w:val="id-ID"/>
        </w:rPr>
        <w:t>mikrositik hipokromik</w:t>
      </w:r>
      <w:r w:rsidRPr="006D5D6C">
        <w:rPr>
          <w:rFonts w:ascii="Arial" w:hAnsi="Arial" w:cs="Arial"/>
          <w:sz w:val="20"/>
          <w:szCs w:val="20"/>
        </w:rPr>
        <w:t xml:space="preserve"> antara lain defisiensi besi, thalasemia, penyakit kronik, dan anemia sideroblastik.</w:t>
      </w:r>
      <w:r w:rsidR="002D1A8A">
        <w:rPr>
          <w:rFonts w:ascii="Arial" w:hAnsi="Arial" w:cs="Arial"/>
          <w:sz w:val="20"/>
          <w:szCs w:val="20"/>
          <w:vertAlign w:val="superscript"/>
          <w:lang w:val="id-ID"/>
        </w:rPr>
        <w:t>13</w:t>
      </w:r>
      <w:r w:rsidRPr="006D5D6C">
        <w:rPr>
          <w:rFonts w:ascii="Arial" w:hAnsi="Arial" w:cs="Arial"/>
          <w:sz w:val="20"/>
          <w:szCs w:val="20"/>
          <w:lang w:val="id-ID"/>
        </w:rPr>
        <w:t xml:space="preserve"> </w:t>
      </w:r>
    </w:p>
    <w:p w:rsidR="006D5D6C" w:rsidRPr="006D5D6C" w:rsidRDefault="006D5D6C" w:rsidP="006D5D6C">
      <w:pPr>
        <w:spacing w:line="360" w:lineRule="auto"/>
        <w:ind w:firstLine="426"/>
        <w:jc w:val="both"/>
        <w:rPr>
          <w:rFonts w:ascii="Arial" w:hAnsi="Arial" w:cs="Arial"/>
          <w:sz w:val="20"/>
          <w:szCs w:val="20"/>
          <w:lang w:val="id-ID"/>
        </w:rPr>
      </w:pPr>
      <w:r w:rsidRPr="006D5D6C">
        <w:rPr>
          <w:rFonts w:ascii="Arial" w:hAnsi="Arial" w:cs="Arial"/>
          <w:sz w:val="20"/>
          <w:szCs w:val="20"/>
          <w:lang w:val="id-ID"/>
        </w:rPr>
        <w:t>P</w:t>
      </w:r>
      <w:r w:rsidRPr="006D5D6C">
        <w:rPr>
          <w:rFonts w:ascii="Arial" w:hAnsi="Arial" w:cs="Arial"/>
          <w:sz w:val="20"/>
          <w:szCs w:val="20"/>
        </w:rPr>
        <w:t xml:space="preserve">ada penelitian ini </w:t>
      </w:r>
      <w:r w:rsidRPr="006D5D6C">
        <w:rPr>
          <w:rFonts w:ascii="Arial" w:hAnsi="Arial" w:cs="Arial"/>
          <w:sz w:val="20"/>
          <w:szCs w:val="20"/>
          <w:lang w:val="id-ID"/>
        </w:rPr>
        <w:t>a</w:t>
      </w:r>
      <w:r w:rsidRPr="006D5D6C">
        <w:rPr>
          <w:rFonts w:ascii="Arial" w:hAnsi="Arial" w:cs="Arial"/>
          <w:sz w:val="20"/>
          <w:szCs w:val="20"/>
        </w:rPr>
        <w:t xml:space="preserve">nemia mikrositik hipokromik </w:t>
      </w:r>
      <w:r w:rsidRPr="006D5D6C">
        <w:rPr>
          <w:rFonts w:ascii="Arial" w:hAnsi="Arial" w:cs="Arial"/>
          <w:sz w:val="20"/>
          <w:szCs w:val="20"/>
          <w:lang w:val="id-ID"/>
        </w:rPr>
        <w:t>l</w:t>
      </w:r>
      <w:r w:rsidRPr="006D5D6C">
        <w:rPr>
          <w:rFonts w:ascii="Arial" w:hAnsi="Arial" w:cs="Arial"/>
          <w:sz w:val="20"/>
          <w:szCs w:val="20"/>
        </w:rPr>
        <w:t>ebih mengarah pada anemia defisiensi besi</w:t>
      </w:r>
      <w:r w:rsidRPr="006D5D6C">
        <w:rPr>
          <w:rFonts w:ascii="Arial" w:hAnsi="Arial" w:cs="Arial"/>
          <w:sz w:val="20"/>
          <w:szCs w:val="20"/>
          <w:lang w:val="id-ID"/>
        </w:rPr>
        <w:t>. Hal</w:t>
      </w:r>
      <w:r w:rsidRPr="006D5D6C">
        <w:rPr>
          <w:rFonts w:ascii="Arial" w:hAnsi="Arial" w:cs="Arial"/>
          <w:sz w:val="20"/>
          <w:szCs w:val="20"/>
        </w:rPr>
        <w:t xml:space="preserve"> </w:t>
      </w:r>
      <w:r w:rsidRPr="006D5D6C">
        <w:rPr>
          <w:rFonts w:ascii="Arial" w:hAnsi="Arial" w:cs="Arial"/>
          <w:sz w:val="20"/>
          <w:szCs w:val="20"/>
          <w:lang w:val="id-ID"/>
        </w:rPr>
        <w:t xml:space="preserve">ini </w:t>
      </w:r>
      <w:r w:rsidRPr="006D5D6C">
        <w:rPr>
          <w:rFonts w:ascii="Arial" w:hAnsi="Arial" w:cs="Arial"/>
          <w:sz w:val="20"/>
          <w:szCs w:val="20"/>
        </w:rPr>
        <w:t>di</w:t>
      </w:r>
      <w:r w:rsidRPr="006D5D6C">
        <w:rPr>
          <w:rFonts w:ascii="Arial" w:hAnsi="Arial" w:cs="Arial"/>
          <w:sz w:val="20"/>
          <w:szCs w:val="20"/>
          <w:lang w:val="id-ID"/>
        </w:rPr>
        <w:t>sebabkan</w:t>
      </w:r>
      <w:r w:rsidRPr="006D5D6C">
        <w:rPr>
          <w:rFonts w:ascii="Arial" w:hAnsi="Arial" w:cs="Arial"/>
          <w:sz w:val="20"/>
          <w:szCs w:val="20"/>
        </w:rPr>
        <w:t xml:space="preserve"> </w:t>
      </w:r>
      <w:r w:rsidRPr="006D5D6C">
        <w:rPr>
          <w:rFonts w:ascii="Arial" w:hAnsi="Arial" w:cs="Arial"/>
          <w:sz w:val="20"/>
          <w:szCs w:val="20"/>
          <w:lang w:val="id-ID"/>
        </w:rPr>
        <w:t xml:space="preserve">anemia defisiensi besi tergolong paling umum ditemukan di negara-negara berkembang termasuk Indonesia, dan menurut beberapa </w:t>
      </w:r>
      <w:r w:rsidRPr="006D5D6C">
        <w:rPr>
          <w:rFonts w:ascii="Arial" w:hAnsi="Arial" w:cs="Arial"/>
          <w:sz w:val="20"/>
          <w:szCs w:val="20"/>
          <w:lang w:val="id-ID"/>
        </w:rPr>
        <w:lastRenderedPageBreak/>
        <w:t>penelitian prevalensi anemia defisiensi besi pada anak usia sekolah antara 2</w:t>
      </w:r>
      <w:r w:rsidR="002D1A8A">
        <w:rPr>
          <w:rFonts w:ascii="Arial" w:hAnsi="Arial" w:cs="Arial"/>
          <w:sz w:val="20"/>
          <w:szCs w:val="20"/>
          <w:lang w:val="id-ID"/>
        </w:rPr>
        <w:t>0-65%</w:t>
      </w:r>
      <w:r w:rsidRPr="006D5D6C">
        <w:rPr>
          <w:rFonts w:ascii="Arial" w:hAnsi="Arial" w:cs="Arial"/>
          <w:sz w:val="20"/>
          <w:szCs w:val="20"/>
          <w:lang w:val="id-ID"/>
        </w:rPr>
        <w:t>.</w:t>
      </w:r>
      <w:r w:rsidR="002D1A8A">
        <w:rPr>
          <w:rFonts w:ascii="Arial" w:hAnsi="Arial" w:cs="Arial"/>
          <w:sz w:val="20"/>
          <w:szCs w:val="20"/>
          <w:vertAlign w:val="superscript"/>
          <w:lang w:val="id-ID"/>
        </w:rPr>
        <w:t>5</w:t>
      </w:r>
      <w:r w:rsidRPr="006D5D6C">
        <w:rPr>
          <w:rFonts w:ascii="Arial" w:hAnsi="Arial" w:cs="Arial"/>
          <w:sz w:val="20"/>
          <w:szCs w:val="20"/>
          <w:lang w:val="id-ID"/>
        </w:rPr>
        <w:t xml:space="preserve"> </w:t>
      </w:r>
      <w:r w:rsidRPr="006D5D6C">
        <w:rPr>
          <w:rFonts w:ascii="Arial" w:hAnsi="Arial" w:cs="Arial"/>
          <w:sz w:val="20"/>
          <w:szCs w:val="20"/>
        </w:rPr>
        <w:t>Anemia defisiensi</w:t>
      </w:r>
      <w:r w:rsidRPr="006D5D6C">
        <w:rPr>
          <w:rFonts w:ascii="Arial" w:hAnsi="Arial" w:cs="Arial"/>
          <w:sz w:val="20"/>
          <w:szCs w:val="20"/>
          <w:lang w:val="id-ID"/>
        </w:rPr>
        <w:t xml:space="preserve"> </w:t>
      </w:r>
      <w:r w:rsidRPr="006D5D6C">
        <w:rPr>
          <w:rFonts w:ascii="Arial" w:hAnsi="Arial" w:cs="Arial"/>
          <w:sz w:val="20"/>
          <w:szCs w:val="20"/>
        </w:rPr>
        <w:t xml:space="preserve">besi </w:t>
      </w:r>
      <w:r w:rsidRPr="006D5D6C">
        <w:rPr>
          <w:rFonts w:ascii="Arial" w:hAnsi="Arial" w:cs="Arial"/>
          <w:sz w:val="20"/>
          <w:szCs w:val="20"/>
          <w:lang w:val="id-ID"/>
        </w:rPr>
        <w:t xml:space="preserve">(ADB) </w:t>
      </w:r>
      <w:r w:rsidRPr="006D5D6C">
        <w:rPr>
          <w:rFonts w:ascii="Arial" w:hAnsi="Arial" w:cs="Arial"/>
          <w:sz w:val="20"/>
          <w:szCs w:val="20"/>
        </w:rPr>
        <w:t xml:space="preserve">dapat disebabkan </w:t>
      </w:r>
      <w:r w:rsidRPr="006D5D6C">
        <w:rPr>
          <w:rFonts w:ascii="Arial" w:hAnsi="Arial" w:cs="Arial"/>
          <w:sz w:val="20"/>
          <w:szCs w:val="20"/>
          <w:lang w:val="id-ID"/>
        </w:rPr>
        <w:t>oleh</w:t>
      </w:r>
      <w:r w:rsidRPr="006D5D6C">
        <w:rPr>
          <w:rFonts w:ascii="Arial" w:hAnsi="Arial" w:cs="Arial"/>
          <w:sz w:val="20"/>
          <w:szCs w:val="20"/>
        </w:rPr>
        <w:t xml:space="preserve"> </w:t>
      </w:r>
      <w:r w:rsidRPr="006D5D6C">
        <w:rPr>
          <w:rFonts w:ascii="Arial" w:hAnsi="Arial" w:cs="Arial"/>
          <w:sz w:val="20"/>
          <w:szCs w:val="20"/>
          <w:lang w:val="id-ID"/>
        </w:rPr>
        <w:t xml:space="preserve">kebutuhan zat besi yang meningkat, </w:t>
      </w:r>
      <w:r w:rsidRPr="006D5D6C">
        <w:rPr>
          <w:rFonts w:ascii="Arial" w:hAnsi="Arial" w:cs="Arial"/>
          <w:sz w:val="20"/>
          <w:szCs w:val="20"/>
        </w:rPr>
        <w:t xml:space="preserve">kurangnya asupan </w:t>
      </w:r>
      <w:r w:rsidRPr="006D5D6C">
        <w:rPr>
          <w:rFonts w:ascii="Arial" w:hAnsi="Arial" w:cs="Arial"/>
          <w:sz w:val="20"/>
          <w:szCs w:val="20"/>
          <w:lang w:val="id-ID"/>
        </w:rPr>
        <w:t xml:space="preserve">zat </w:t>
      </w:r>
      <w:r>
        <w:rPr>
          <w:rFonts w:ascii="Arial" w:hAnsi="Arial" w:cs="Arial"/>
          <w:sz w:val="20"/>
          <w:szCs w:val="20"/>
        </w:rPr>
        <w:t>besi,</w:t>
      </w:r>
      <w:r>
        <w:rPr>
          <w:rFonts w:ascii="Arial" w:hAnsi="Arial" w:cs="Arial"/>
          <w:sz w:val="20"/>
          <w:szCs w:val="20"/>
          <w:lang w:val="id-ID"/>
        </w:rPr>
        <w:t xml:space="preserve"> </w:t>
      </w:r>
      <w:r w:rsidRPr="006D5D6C">
        <w:rPr>
          <w:rFonts w:ascii="Arial" w:hAnsi="Arial" w:cs="Arial"/>
          <w:sz w:val="20"/>
          <w:szCs w:val="20"/>
        </w:rPr>
        <w:t>gangguan absorpsi, serta kehilangan zat besi akibat perdarahan menahun seperti infeksi cacing yang kroni</w:t>
      </w:r>
      <w:r w:rsidRPr="006D5D6C">
        <w:rPr>
          <w:rFonts w:ascii="Arial" w:hAnsi="Arial" w:cs="Arial"/>
          <w:sz w:val="20"/>
          <w:szCs w:val="20"/>
          <w:lang w:val="id-ID"/>
        </w:rPr>
        <w:t xml:space="preserve">k. Penurunan kadar zat </w:t>
      </w:r>
      <w:r w:rsidRPr="006D5D6C">
        <w:rPr>
          <w:rFonts w:ascii="Arial" w:hAnsi="Arial" w:cs="Arial"/>
          <w:sz w:val="20"/>
          <w:szCs w:val="20"/>
        </w:rPr>
        <w:t xml:space="preserve">besi </w:t>
      </w:r>
      <w:r w:rsidRPr="006D5D6C">
        <w:rPr>
          <w:rFonts w:ascii="Arial" w:hAnsi="Arial" w:cs="Arial"/>
          <w:sz w:val="20"/>
          <w:szCs w:val="20"/>
          <w:lang w:val="id-ID"/>
        </w:rPr>
        <w:t xml:space="preserve">dalam tubuh menyebabkan </w:t>
      </w:r>
      <w:r w:rsidRPr="006D5D6C">
        <w:rPr>
          <w:rFonts w:ascii="Arial" w:hAnsi="Arial" w:cs="Arial"/>
          <w:sz w:val="20"/>
          <w:szCs w:val="20"/>
        </w:rPr>
        <w:t xml:space="preserve">pembentukan hemoglobin </w:t>
      </w:r>
      <w:r w:rsidRPr="006D5D6C">
        <w:rPr>
          <w:rFonts w:ascii="Arial" w:hAnsi="Arial" w:cs="Arial"/>
          <w:sz w:val="20"/>
          <w:szCs w:val="20"/>
          <w:lang w:val="id-ID"/>
        </w:rPr>
        <w:t>ikut menurun</w:t>
      </w:r>
      <w:r w:rsidRPr="006D5D6C">
        <w:rPr>
          <w:rFonts w:ascii="Arial" w:hAnsi="Arial" w:cs="Arial"/>
          <w:sz w:val="20"/>
          <w:szCs w:val="20"/>
        </w:rPr>
        <w:t>.</w:t>
      </w:r>
      <w:r w:rsidR="002D1A8A">
        <w:rPr>
          <w:rFonts w:ascii="Arial" w:hAnsi="Arial" w:cs="Arial"/>
          <w:sz w:val="20"/>
          <w:szCs w:val="20"/>
          <w:vertAlign w:val="superscript"/>
          <w:lang w:val="id-ID"/>
        </w:rPr>
        <w:t>2</w:t>
      </w:r>
      <w:r w:rsidRPr="006D5D6C">
        <w:rPr>
          <w:rFonts w:ascii="Arial" w:hAnsi="Arial" w:cs="Arial"/>
          <w:sz w:val="20"/>
          <w:szCs w:val="20"/>
          <w:lang w:val="id-ID"/>
        </w:rPr>
        <w:t xml:space="preserve"> </w:t>
      </w:r>
    </w:p>
    <w:p w:rsidR="006D5D6C" w:rsidRPr="006D5D6C" w:rsidRDefault="006D5D6C" w:rsidP="006D5D6C">
      <w:pPr>
        <w:spacing w:line="360" w:lineRule="auto"/>
        <w:ind w:firstLine="426"/>
        <w:jc w:val="both"/>
        <w:rPr>
          <w:rFonts w:ascii="Arial" w:hAnsi="Arial" w:cs="Arial"/>
          <w:sz w:val="20"/>
          <w:szCs w:val="20"/>
        </w:rPr>
      </w:pPr>
      <w:r w:rsidRPr="006D5D6C">
        <w:rPr>
          <w:rFonts w:ascii="Arial" w:hAnsi="Arial" w:cs="Arial"/>
          <w:sz w:val="20"/>
          <w:szCs w:val="20"/>
        </w:rPr>
        <w:t xml:space="preserve">Jenis anemia ini diderita oleh 8 anak laki-laki dan 8 anak perempuan. Hal ini disebabkan karena pada usia </w:t>
      </w:r>
      <w:r w:rsidRPr="006D5D6C">
        <w:rPr>
          <w:rFonts w:ascii="Arial" w:hAnsi="Arial" w:cs="Arial"/>
          <w:sz w:val="20"/>
          <w:szCs w:val="20"/>
          <w:lang w:val="id-ID"/>
        </w:rPr>
        <w:t>anak SMP termasuk dalam</w:t>
      </w:r>
      <w:r w:rsidRPr="006D5D6C">
        <w:rPr>
          <w:rFonts w:ascii="Arial" w:hAnsi="Arial" w:cs="Arial"/>
          <w:sz w:val="20"/>
          <w:szCs w:val="20"/>
        </w:rPr>
        <w:t xml:space="preserve"> tahapan remaja awal.</w:t>
      </w:r>
      <w:r w:rsidR="00C931E6">
        <w:rPr>
          <w:rFonts w:ascii="Arial" w:hAnsi="Arial" w:cs="Arial"/>
          <w:sz w:val="20"/>
          <w:szCs w:val="20"/>
          <w:vertAlign w:val="superscript"/>
          <w:lang w:val="id-ID"/>
        </w:rPr>
        <w:t>14</w:t>
      </w:r>
      <w:r w:rsidRPr="006D5D6C">
        <w:rPr>
          <w:rFonts w:ascii="Arial" w:hAnsi="Arial" w:cs="Arial"/>
          <w:sz w:val="20"/>
          <w:szCs w:val="20"/>
        </w:rPr>
        <w:t xml:space="preserve"> </w:t>
      </w:r>
      <w:r w:rsidRPr="006D5D6C">
        <w:rPr>
          <w:rFonts w:ascii="Arial" w:hAnsi="Arial" w:cs="Arial"/>
          <w:sz w:val="20"/>
          <w:szCs w:val="20"/>
          <w:lang w:val="id-ID"/>
        </w:rPr>
        <w:t>Pada tahap ini, r</w:t>
      </w:r>
      <w:r w:rsidRPr="006D5D6C">
        <w:rPr>
          <w:rFonts w:ascii="Arial" w:hAnsi="Arial" w:cs="Arial"/>
          <w:sz w:val="20"/>
          <w:szCs w:val="20"/>
        </w:rPr>
        <w:t xml:space="preserve">emaja laki-laki maupun </w:t>
      </w:r>
      <w:r w:rsidRPr="006D5D6C">
        <w:rPr>
          <w:rFonts w:ascii="Arial" w:hAnsi="Arial" w:cs="Arial"/>
          <w:sz w:val="20"/>
          <w:szCs w:val="20"/>
          <w:lang w:val="id-ID"/>
        </w:rPr>
        <w:t xml:space="preserve">remaja </w:t>
      </w:r>
      <w:r w:rsidRPr="006D5D6C">
        <w:rPr>
          <w:rFonts w:ascii="Arial" w:hAnsi="Arial" w:cs="Arial"/>
          <w:sz w:val="20"/>
          <w:szCs w:val="20"/>
        </w:rPr>
        <w:t>perempuan</w:t>
      </w:r>
      <w:r w:rsidRPr="006D5D6C">
        <w:rPr>
          <w:rFonts w:ascii="Arial" w:hAnsi="Arial" w:cs="Arial"/>
          <w:sz w:val="20"/>
          <w:szCs w:val="20"/>
          <w:lang w:val="id-ID"/>
        </w:rPr>
        <w:t xml:space="preserve"> sedang mengalami puncak dari </w:t>
      </w:r>
      <w:r w:rsidRPr="006D5D6C">
        <w:rPr>
          <w:rFonts w:ascii="Arial" w:hAnsi="Arial" w:cs="Arial"/>
          <w:sz w:val="20"/>
          <w:szCs w:val="20"/>
        </w:rPr>
        <w:t>masa pertumbuhan</w:t>
      </w:r>
      <w:r w:rsidRPr="006D5D6C">
        <w:rPr>
          <w:rFonts w:ascii="Arial" w:hAnsi="Arial" w:cs="Arial"/>
          <w:sz w:val="20"/>
          <w:szCs w:val="20"/>
          <w:lang w:val="id-ID"/>
        </w:rPr>
        <w:t xml:space="preserve">nya, sehingga </w:t>
      </w:r>
      <w:r w:rsidRPr="006D5D6C">
        <w:rPr>
          <w:rFonts w:ascii="Arial" w:hAnsi="Arial" w:cs="Arial"/>
          <w:sz w:val="20"/>
          <w:szCs w:val="20"/>
        </w:rPr>
        <w:t>membutuhkan energi, protein dan zat-zat gizi lainnya lebih banyak</w:t>
      </w:r>
      <w:r w:rsidRPr="006D5D6C">
        <w:rPr>
          <w:rFonts w:ascii="Arial" w:hAnsi="Arial" w:cs="Arial"/>
          <w:sz w:val="20"/>
          <w:szCs w:val="20"/>
          <w:lang w:val="id-ID"/>
        </w:rPr>
        <w:t xml:space="preserve"> </w:t>
      </w:r>
      <w:r w:rsidRPr="006D5D6C">
        <w:rPr>
          <w:rFonts w:ascii="Arial" w:hAnsi="Arial" w:cs="Arial"/>
          <w:sz w:val="20"/>
          <w:szCs w:val="20"/>
        </w:rPr>
        <w:t>dibanding</w:t>
      </w:r>
      <w:r w:rsidRPr="006D5D6C">
        <w:rPr>
          <w:rFonts w:ascii="Arial" w:hAnsi="Arial" w:cs="Arial"/>
          <w:sz w:val="20"/>
          <w:szCs w:val="20"/>
          <w:lang w:val="id-ID"/>
        </w:rPr>
        <w:t>kan</w:t>
      </w:r>
      <w:r w:rsidRPr="006D5D6C">
        <w:rPr>
          <w:rFonts w:ascii="Arial" w:hAnsi="Arial" w:cs="Arial"/>
          <w:sz w:val="20"/>
          <w:szCs w:val="20"/>
        </w:rPr>
        <w:t xml:space="preserve"> dengan kelompok umur lain. </w:t>
      </w:r>
      <w:r w:rsidR="00C931E6">
        <w:rPr>
          <w:rFonts w:ascii="Arial" w:hAnsi="Arial" w:cs="Arial"/>
          <w:sz w:val="20"/>
          <w:szCs w:val="20"/>
          <w:lang w:val="id-ID"/>
        </w:rPr>
        <w:t>Menurut Arisman</w:t>
      </w:r>
      <w:r w:rsidRPr="006D5D6C">
        <w:rPr>
          <w:rFonts w:ascii="Arial" w:hAnsi="Arial" w:cs="Arial"/>
          <w:sz w:val="20"/>
          <w:szCs w:val="20"/>
          <w:lang w:val="id-ID"/>
        </w:rPr>
        <w:t>, puncak pertambahan berat dan tinggi badan wanita tercapai pada usia masing-masing 12,9 dan 12,1 tahun, sementara pria 14,3 dan 14,1 tahun.</w:t>
      </w:r>
      <w:r w:rsidR="00C931E6">
        <w:rPr>
          <w:rFonts w:ascii="Arial" w:hAnsi="Arial" w:cs="Arial"/>
          <w:sz w:val="20"/>
          <w:szCs w:val="20"/>
          <w:vertAlign w:val="superscript"/>
          <w:lang w:val="id-ID"/>
        </w:rPr>
        <w:t>15</w:t>
      </w:r>
      <w:r w:rsidRPr="006D5D6C">
        <w:rPr>
          <w:rFonts w:ascii="Arial" w:hAnsi="Arial" w:cs="Arial"/>
          <w:sz w:val="20"/>
          <w:szCs w:val="20"/>
          <w:lang w:val="id-ID"/>
        </w:rPr>
        <w:t xml:space="preserve"> Proses p</w:t>
      </w:r>
      <w:r w:rsidRPr="006D5D6C">
        <w:rPr>
          <w:rFonts w:ascii="Arial" w:hAnsi="Arial" w:cs="Arial"/>
          <w:sz w:val="20"/>
          <w:szCs w:val="20"/>
        </w:rPr>
        <w:t xml:space="preserve">ematangan seksual pada </w:t>
      </w:r>
      <w:r w:rsidRPr="006D5D6C">
        <w:rPr>
          <w:rFonts w:ascii="Arial" w:hAnsi="Arial" w:cs="Arial"/>
          <w:sz w:val="20"/>
          <w:szCs w:val="20"/>
          <w:lang w:val="id-ID"/>
        </w:rPr>
        <w:t xml:space="preserve">anak </w:t>
      </w:r>
      <w:r w:rsidRPr="006D5D6C">
        <w:rPr>
          <w:rFonts w:ascii="Arial" w:hAnsi="Arial" w:cs="Arial"/>
          <w:sz w:val="20"/>
          <w:szCs w:val="20"/>
        </w:rPr>
        <w:t xml:space="preserve">remaja </w:t>
      </w:r>
      <w:r w:rsidRPr="006D5D6C">
        <w:rPr>
          <w:rFonts w:ascii="Arial" w:hAnsi="Arial" w:cs="Arial"/>
          <w:sz w:val="20"/>
          <w:szCs w:val="20"/>
          <w:lang w:val="id-ID"/>
        </w:rPr>
        <w:t xml:space="preserve">laki-laki maupun perempuan ini </w:t>
      </w:r>
      <w:r w:rsidRPr="006D5D6C">
        <w:rPr>
          <w:rFonts w:ascii="Arial" w:hAnsi="Arial" w:cs="Arial"/>
          <w:sz w:val="20"/>
          <w:szCs w:val="20"/>
        </w:rPr>
        <w:t>menyebabkan kebutuhan zat besi meningkat.</w:t>
      </w:r>
      <w:r w:rsidR="00C931E6">
        <w:rPr>
          <w:rFonts w:ascii="Arial" w:hAnsi="Arial" w:cs="Arial"/>
          <w:sz w:val="20"/>
          <w:szCs w:val="20"/>
          <w:vertAlign w:val="superscript"/>
          <w:lang w:val="id-ID"/>
        </w:rPr>
        <w:t>12</w:t>
      </w:r>
      <w:r w:rsidRPr="006D5D6C">
        <w:rPr>
          <w:rFonts w:ascii="Arial" w:hAnsi="Arial" w:cs="Arial"/>
          <w:sz w:val="20"/>
          <w:szCs w:val="20"/>
        </w:rPr>
        <w:t xml:space="preserve"> </w:t>
      </w:r>
    </w:p>
    <w:p w:rsidR="006D5D6C" w:rsidRPr="00C931E6" w:rsidRDefault="006D5D6C" w:rsidP="006D5D6C">
      <w:pPr>
        <w:spacing w:line="360" w:lineRule="auto"/>
        <w:ind w:firstLine="425"/>
        <w:jc w:val="both"/>
        <w:rPr>
          <w:rFonts w:ascii="Arial" w:hAnsi="Arial" w:cs="Arial"/>
          <w:sz w:val="20"/>
          <w:szCs w:val="20"/>
          <w:vertAlign w:val="superscript"/>
          <w:lang w:val="id-ID"/>
        </w:rPr>
      </w:pPr>
      <w:r w:rsidRPr="006D5D6C">
        <w:rPr>
          <w:rFonts w:ascii="Arial" w:hAnsi="Arial" w:cs="Arial"/>
          <w:sz w:val="20"/>
          <w:szCs w:val="20"/>
        </w:rPr>
        <w:t>Se</w:t>
      </w:r>
      <w:r w:rsidRPr="006D5D6C">
        <w:rPr>
          <w:rFonts w:ascii="Arial" w:hAnsi="Arial" w:cs="Arial"/>
          <w:sz w:val="20"/>
          <w:szCs w:val="20"/>
          <w:lang w:val="id-ID"/>
        </w:rPr>
        <w:t>puluh</w:t>
      </w:r>
      <w:r w:rsidRPr="006D5D6C">
        <w:rPr>
          <w:rFonts w:ascii="Arial" w:hAnsi="Arial" w:cs="Arial"/>
          <w:sz w:val="20"/>
          <w:szCs w:val="20"/>
        </w:rPr>
        <w:t xml:space="preserve"> responden lainya </w:t>
      </w:r>
      <w:r w:rsidRPr="006D5D6C">
        <w:rPr>
          <w:rFonts w:ascii="Arial" w:hAnsi="Arial" w:cs="Arial"/>
          <w:sz w:val="20"/>
          <w:szCs w:val="20"/>
          <w:lang w:val="id-ID"/>
        </w:rPr>
        <w:t xml:space="preserve">(38,46%) </w:t>
      </w:r>
      <w:r w:rsidRPr="006D5D6C">
        <w:rPr>
          <w:rFonts w:ascii="Arial" w:hAnsi="Arial" w:cs="Arial"/>
          <w:sz w:val="20"/>
          <w:szCs w:val="20"/>
        </w:rPr>
        <w:t>mengalami anemia jenis normositik hipokromik</w:t>
      </w:r>
      <w:r w:rsidRPr="006D5D6C">
        <w:rPr>
          <w:rFonts w:ascii="Arial" w:hAnsi="Arial" w:cs="Arial"/>
          <w:sz w:val="20"/>
          <w:szCs w:val="20"/>
          <w:lang w:val="id-ID"/>
        </w:rPr>
        <w:t>. S</w:t>
      </w:r>
      <w:r w:rsidRPr="006D5D6C">
        <w:rPr>
          <w:rFonts w:ascii="Arial" w:hAnsi="Arial" w:cs="Arial"/>
          <w:sz w:val="20"/>
          <w:szCs w:val="20"/>
        </w:rPr>
        <w:t xml:space="preserve">emuanya memiliki kadar </w:t>
      </w:r>
      <w:r w:rsidRPr="006D5D6C">
        <w:rPr>
          <w:rFonts w:ascii="Arial" w:hAnsi="Arial" w:cs="Arial"/>
          <w:i/>
          <w:sz w:val="20"/>
          <w:szCs w:val="20"/>
        </w:rPr>
        <w:t>MCV</w:t>
      </w:r>
      <w:r w:rsidRPr="006D5D6C">
        <w:rPr>
          <w:rFonts w:ascii="Arial" w:hAnsi="Arial" w:cs="Arial"/>
          <w:sz w:val="20"/>
          <w:szCs w:val="20"/>
        </w:rPr>
        <w:t xml:space="preserve"> normal, namun kadar </w:t>
      </w:r>
      <w:r w:rsidRPr="006D5D6C">
        <w:rPr>
          <w:rFonts w:ascii="Arial" w:hAnsi="Arial" w:cs="Arial"/>
          <w:i/>
          <w:sz w:val="20"/>
          <w:szCs w:val="20"/>
        </w:rPr>
        <w:t>MCH</w:t>
      </w:r>
      <w:r w:rsidRPr="006D5D6C">
        <w:rPr>
          <w:rFonts w:ascii="Arial" w:hAnsi="Arial" w:cs="Arial"/>
          <w:sz w:val="20"/>
          <w:szCs w:val="20"/>
        </w:rPr>
        <w:t xml:space="preserve"> dan </w:t>
      </w:r>
      <w:r w:rsidRPr="006D5D6C">
        <w:rPr>
          <w:rFonts w:ascii="Arial" w:hAnsi="Arial" w:cs="Arial"/>
          <w:i/>
          <w:sz w:val="20"/>
          <w:szCs w:val="20"/>
        </w:rPr>
        <w:t>MCHC</w:t>
      </w:r>
      <w:r w:rsidRPr="006D5D6C">
        <w:rPr>
          <w:rFonts w:ascii="Arial" w:hAnsi="Arial" w:cs="Arial"/>
          <w:sz w:val="20"/>
          <w:szCs w:val="20"/>
        </w:rPr>
        <w:t xml:space="preserve"> rendah. </w:t>
      </w:r>
      <w:r w:rsidRPr="006D5D6C">
        <w:rPr>
          <w:rFonts w:ascii="Arial" w:hAnsi="Arial" w:cs="Arial"/>
          <w:sz w:val="20"/>
          <w:szCs w:val="20"/>
          <w:lang w:val="id-ID"/>
        </w:rPr>
        <w:t>A</w:t>
      </w:r>
      <w:r w:rsidRPr="006D5D6C">
        <w:rPr>
          <w:rFonts w:ascii="Arial" w:hAnsi="Arial" w:cs="Arial"/>
          <w:sz w:val="20"/>
          <w:szCs w:val="20"/>
        </w:rPr>
        <w:t xml:space="preserve">nemia normositik hipokromik mengindikasikan bahwa </w:t>
      </w:r>
      <w:r w:rsidRPr="006D5D6C">
        <w:rPr>
          <w:rFonts w:ascii="Arial" w:hAnsi="Arial" w:cs="Arial"/>
          <w:sz w:val="20"/>
          <w:szCs w:val="20"/>
        </w:rPr>
        <w:lastRenderedPageBreak/>
        <w:t>cadangan besi pada sel eritrosit</w:t>
      </w:r>
      <w:r w:rsidRPr="006D5D6C">
        <w:rPr>
          <w:rFonts w:ascii="Arial" w:hAnsi="Arial" w:cs="Arial"/>
          <w:sz w:val="20"/>
          <w:szCs w:val="20"/>
          <w:lang w:val="id-ID"/>
        </w:rPr>
        <w:t xml:space="preserve"> mulai</w:t>
      </w:r>
      <w:r w:rsidRPr="006D5D6C">
        <w:rPr>
          <w:rFonts w:ascii="Arial" w:hAnsi="Arial" w:cs="Arial"/>
          <w:sz w:val="20"/>
          <w:szCs w:val="20"/>
        </w:rPr>
        <w:t xml:space="preserve"> berkurang</w:t>
      </w:r>
      <w:r w:rsidRPr="006D5D6C">
        <w:rPr>
          <w:rFonts w:ascii="Arial" w:hAnsi="Arial" w:cs="Arial"/>
          <w:sz w:val="20"/>
          <w:szCs w:val="20"/>
          <w:lang w:val="id-ID"/>
        </w:rPr>
        <w:t>.</w:t>
      </w:r>
      <w:r w:rsidR="00C931E6">
        <w:rPr>
          <w:rFonts w:ascii="Arial" w:hAnsi="Arial" w:cs="Arial"/>
          <w:sz w:val="20"/>
          <w:szCs w:val="20"/>
          <w:vertAlign w:val="superscript"/>
          <w:lang w:val="id-ID"/>
        </w:rPr>
        <w:t>16</w:t>
      </w:r>
      <w:r w:rsidRPr="006D5D6C">
        <w:rPr>
          <w:rFonts w:ascii="Arial" w:hAnsi="Arial" w:cs="Arial"/>
          <w:sz w:val="20"/>
          <w:szCs w:val="20"/>
          <w:lang w:val="id-ID"/>
        </w:rPr>
        <w:t xml:space="preserve"> Jenis anemia ini lebih banyak diderita oleh jenis kelamin perempuan yaitu 7 anak (26,92%) dibandingkan dengan laki-laki hanya 3 anak (11,54%).  </w:t>
      </w:r>
      <w:r w:rsidRPr="006D5D6C">
        <w:rPr>
          <w:rFonts w:ascii="Arial" w:hAnsi="Arial" w:cs="Arial"/>
          <w:sz w:val="20"/>
          <w:szCs w:val="20"/>
        </w:rPr>
        <w:t>Hal ini di</w:t>
      </w:r>
      <w:r w:rsidRPr="006D5D6C">
        <w:rPr>
          <w:rFonts w:ascii="Arial" w:hAnsi="Arial" w:cs="Arial"/>
          <w:sz w:val="20"/>
          <w:szCs w:val="20"/>
          <w:lang w:val="id-ID"/>
        </w:rPr>
        <w:t>sebabkan</w:t>
      </w:r>
      <w:r w:rsidRPr="006D5D6C">
        <w:rPr>
          <w:rFonts w:ascii="Arial" w:hAnsi="Arial" w:cs="Arial"/>
          <w:sz w:val="20"/>
          <w:szCs w:val="20"/>
        </w:rPr>
        <w:t xml:space="preserve"> kebutuhan</w:t>
      </w:r>
      <w:r w:rsidRPr="006D5D6C">
        <w:rPr>
          <w:rFonts w:ascii="Arial" w:hAnsi="Arial" w:cs="Arial"/>
          <w:sz w:val="20"/>
          <w:szCs w:val="20"/>
          <w:lang w:val="id-ID"/>
        </w:rPr>
        <w:t xml:space="preserve"> zat </w:t>
      </w:r>
      <w:r w:rsidRPr="006D5D6C">
        <w:rPr>
          <w:rFonts w:ascii="Arial" w:hAnsi="Arial" w:cs="Arial"/>
          <w:sz w:val="20"/>
          <w:szCs w:val="20"/>
        </w:rPr>
        <w:t>besi remaja perempuan lebih besar d</w:t>
      </w:r>
      <w:r w:rsidRPr="006D5D6C">
        <w:rPr>
          <w:rFonts w:ascii="Arial" w:hAnsi="Arial" w:cs="Arial"/>
          <w:sz w:val="20"/>
          <w:szCs w:val="20"/>
          <w:lang w:val="id-ID"/>
        </w:rPr>
        <w:t xml:space="preserve">aripada </w:t>
      </w:r>
      <w:r w:rsidRPr="006D5D6C">
        <w:rPr>
          <w:rFonts w:ascii="Arial" w:hAnsi="Arial" w:cs="Arial"/>
          <w:sz w:val="20"/>
          <w:szCs w:val="20"/>
        </w:rPr>
        <w:t>remaja laki-laki. Perempuan membutuhkan sekitar 15 mg zat besi per hari sedangkan laki-laki hanya membutuhkan sekit</w:t>
      </w:r>
      <w:r w:rsidR="00C931E6">
        <w:rPr>
          <w:rFonts w:ascii="Arial" w:hAnsi="Arial" w:cs="Arial"/>
          <w:sz w:val="20"/>
          <w:szCs w:val="20"/>
        </w:rPr>
        <w:t>ar 10-12 mg zat besi per hari</w:t>
      </w:r>
      <w:r w:rsidRPr="006D5D6C">
        <w:rPr>
          <w:rFonts w:ascii="Arial" w:hAnsi="Arial" w:cs="Arial"/>
          <w:sz w:val="20"/>
          <w:szCs w:val="20"/>
        </w:rPr>
        <w:t>.</w:t>
      </w:r>
      <w:r w:rsidR="00C931E6">
        <w:rPr>
          <w:rFonts w:ascii="Arial" w:hAnsi="Arial" w:cs="Arial"/>
          <w:sz w:val="20"/>
          <w:szCs w:val="20"/>
          <w:vertAlign w:val="superscript"/>
          <w:lang w:val="id-ID"/>
        </w:rPr>
        <w:t>15</w:t>
      </w:r>
    </w:p>
    <w:p w:rsidR="006D5D6C" w:rsidRPr="006D5D6C" w:rsidRDefault="006D5D6C" w:rsidP="006D5D6C">
      <w:pPr>
        <w:autoSpaceDE w:val="0"/>
        <w:autoSpaceDN w:val="0"/>
        <w:adjustRightInd w:val="0"/>
        <w:spacing w:line="360" w:lineRule="auto"/>
        <w:ind w:firstLine="425"/>
        <w:jc w:val="both"/>
        <w:rPr>
          <w:rFonts w:ascii="Arial" w:hAnsi="Arial" w:cs="Arial"/>
          <w:sz w:val="20"/>
          <w:szCs w:val="20"/>
          <w:lang w:val="id-ID"/>
        </w:rPr>
      </w:pPr>
      <w:r w:rsidRPr="006D5D6C">
        <w:rPr>
          <w:rFonts w:ascii="Arial" w:hAnsi="Arial" w:cs="Arial"/>
          <w:sz w:val="20"/>
          <w:szCs w:val="20"/>
          <w:lang w:val="id-ID"/>
        </w:rPr>
        <w:t>Anak perempuan mengalami kehilangan darah secara alamiah setiap bulan. Beberapa penelitian telah membuktikan bahwa jumlah darah yang hilang selama satu periode haid berkisar antara 20-25 cc. Jumlah ini menyiratkan kehilangan zat besi sebesar 12,5-15 mg/bulan, atau kira-kira 0</w:t>
      </w:r>
      <w:r w:rsidR="00C931E6">
        <w:rPr>
          <w:rFonts w:ascii="Arial" w:hAnsi="Arial" w:cs="Arial"/>
          <w:sz w:val="20"/>
          <w:szCs w:val="20"/>
          <w:lang w:val="id-ID"/>
        </w:rPr>
        <w:t>,4-0,5 mg sehari</w:t>
      </w:r>
      <w:r w:rsidRPr="006D5D6C">
        <w:rPr>
          <w:rFonts w:ascii="Arial" w:hAnsi="Arial" w:cs="Arial"/>
          <w:sz w:val="20"/>
          <w:szCs w:val="20"/>
          <w:lang w:val="id-ID"/>
        </w:rPr>
        <w:t>.</w:t>
      </w:r>
      <w:r w:rsidR="00C931E6" w:rsidRPr="00C931E6">
        <w:rPr>
          <w:rFonts w:ascii="Arial" w:hAnsi="Arial" w:cs="Arial"/>
          <w:sz w:val="20"/>
          <w:szCs w:val="20"/>
          <w:vertAlign w:val="superscript"/>
          <w:lang w:val="id-ID"/>
        </w:rPr>
        <w:t>15</w:t>
      </w:r>
      <w:r w:rsidRPr="006D5D6C">
        <w:rPr>
          <w:rFonts w:ascii="Arial" w:hAnsi="Arial" w:cs="Arial"/>
          <w:sz w:val="20"/>
          <w:szCs w:val="20"/>
          <w:lang w:val="id-ID"/>
        </w:rPr>
        <w:t xml:space="preserve"> Pada anak </w:t>
      </w:r>
      <w:r w:rsidRPr="006D5D6C">
        <w:rPr>
          <w:rFonts w:ascii="Arial" w:hAnsi="Arial" w:cs="Arial"/>
          <w:sz w:val="20"/>
          <w:szCs w:val="20"/>
        </w:rPr>
        <w:t xml:space="preserve">laki-laki </w:t>
      </w:r>
      <w:r w:rsidRPr="006D5D6C">
        <w:rPr>
          <w:rFonts w:ascii="Arial" w:hAnsi="Arial" w:cs="Arial"/>
          <w:sz w:val="20"/>
          <w:szCs w:val="20"/>
          <w:lang w:val="id-ID"/>
        </w:rPr>
        <w:t>kehilangan zat</w:t>
      </w:r>
      <w:r w:rsidRPr="006D5D6C">
        <w:rPr>
          <w:rFonts w:ascii="Arial" w:hAnsi="Arial" w:cs="Arial"/>
          <w:sz w:val="20"/>
          <w:szCs w:val="20"/>
        </w:rPr>
        <w:t xml:space="preserve"> besi</w:t>
      </w:r>
      <w:r w:rsidRPr="006D5D6C">
        <w:rPr>
          <w:rFonts w:ascii="Arial" w:hAnsi="Arial" w:cs="Arial"/>
          <w:sz w:val="20"/>
          <w:szCs w:val="20"/>
          <w:lang w:val="id-ID"/>
        </w:rPr>
        <w:t xml:space="preserve"> diakibatkan oleh</w:t>
      </w:r>
      <w:r w:rsidRPr="006D5D6C">
        <w:rPr>
          <w:rFonts w:ascii="Arial" w:hAnsi="Arial" w:cs="Arial"/>
          <w:sz w:val="20"/>
          <w:szCs w:val="20"/>
        </w:rPr>
        <w:t xml:space="preserve"> aktivitas fisik yang tinggi</w:t>
      </w:r>
      <w:r w:rsidRPr="006D5D6C">
        <w:rPr>
          <w:rFonts w:ascii="Arial" w:hAnsi="Arial" w:cs="Arial"/>
          <w:sz w:val="20"/>
          <w:szCs w:val="20"/>
          <w:lang w:val="id-ID"/>
        </w:rPr>
        <w:t>.</w:t>
      </w:r>
      <w:r w:rsidRPr="006D5D6C">
        <w:rPr>
          <w:rFonts w:ascii="Arial" w:hAnsi="Arial" w:cs="Arial"/>
          <w:sz w:val="20"/>
          <w:szCs w:val="20"/>
        </w:rPr>
        <w:t xml:space="preserve"> Selain itu, </w:t>
      </w:r>
      <w:r w:rsidRPr="006D5D6C">
        <w:rPr>
          <w:rFonts w:ascii="Arial" w:hAnsi="Arial" w:cs="Arial"/>
          <w:sz w:val="20"/>
          <w:szCs w:val="20"/>
          <w:lang w:val="id-ID"/>
        </w:rPr>
        <w:t>berkurangnya kadar</w:t>
      </w:r>
      <w:r w:rsidRPr="006D5D6C">
        <w:rPr>
          <w:rFonts w:ascii="Arial" w:hAnsi="Arial" w:cs="Arial"/>
          <w:sz w:val="20"/>
          <w:szCs w:val="20"/>
        </w:rPr>
        <w:t xml:space="preserve"> besi </w:t>
      </w:r>
      <w:r w:rsidRPr="006D5D6C">
        <w:rPr>
          <w:rFonts w:ascii="Arial" w:hAnsi="Arial" w:cs="Arial"/>
          <w:sz w:val="20"/>
          <w:szCs w:val="20"/>
          <w:lang w:val="id-ID"/>
        </w:rPr>
        <w:t xml:space="preserve">dalam darah </w:t>
      </w:r>
      <w:r w:rsidRPr="006D5D6C">
        <w:rPr>
          <w:rFonts w:ascii="Arial" w:hAnsi="Arial" w:cs="Arial"/>
          <w:sz w:val="20"/>
          <w:szCs w:val="20"/>
        </w:rPr>
        <w:t>pada</w:t>
      </w:r>
      <w:r w:rsidRPr="006D5D6C">
        <w:rPr>
          <w:rFonts w:ascii="Arial" w:hAnsi="Arial" w:cs="Arial"/>
          <w:sz w:val="20"/>
          <w:szCs w:val="20"/>
          <w:lang w:val="id-ID"/>
        </w:rPr>
        <w:t xml:space="preserve"> anak</w:t>
      </w:r>
      <w:r w:rsidRPr="006D5D6C">
        <w:rPr>
          <w:rFonts w:ascii="Arial" w:hAnsi="Arial" w:cs="Arial"/>
          <w:sz w:val="20"/>
          <w:szCs w:val="20"/>
        </w:rPr>
        <w:t xml:space="preserve"> </w:t>
      </w:r>
      <w:r w:rsidRPr="006D5D6C">
        <w:rPr>
          <w:rFonts w:ascii="Arial" w:hAnsi="Arial" w:cs="Arial"/>
          <w:sz w:val="20"/>
          <w:szCs w:val="20"/>
          <w:lang w:val="id-ID"/>
        </w:rPr>
        <w:t>laki-laki</w:t>
      </w:r>
      <w:r w:rsidRPr="006D5D6C">
        <w:rPr>
          <w:rFonts w:ascii="Arial" w:hAnsi="Arial" w:cs="Arial"/>
          <w:sz w:val="20"/>
          <w:szCs w:val="20"/>
        </w:rPr>
        <w:t xml:space="preserve"> berkaitan dengan terjadinya peningkatan massa otot dan myoglobin.</w:t>
      </w:r>
      <w:r w:rsidR="00C931E6">
        <w:rPr>
          <w:rFonts w:ascii="Arial" w:hAnsi="Arial" w:cs="Arial"/>
          <w:sz w:val="20"/>
          <w:szCs w:val="20"/>
          <w:vertAlign w:val="superscript"/>
          <w:lang w:val="id-ID"/>
        </w:rPr>
        <w:t>17</w:t>
      </w:r>
      <w:r w:rsidRPr="006D5D6C">
        <w:rPr>
          <w:rFonts w:ascii="Arial" w:hAnsi="Arial" w:cs="Arial"/>
          <w:sz w:val="20"/>
          <w:szCs w:val="20"/>
          <w:lang w:val="id-ID"/>
        </w:rPr>
        <w:t xml:space="preserve">  </w:t>
      </w:r>
    </w:p>
    <w:p w:rsidR="006D5D6C" w:rsidRPr="00C931E6" w:rsidRDefault="006D5D6C" w:rsidP="006D5D6C">
      <w:pPr>
        <w:autoSpaceDE w:val="0"/>
        <w:autoSpaceDN w:val="0"/>
        <w:adjustRightInd w:val="0"/>
        <w:spacing w:line="360" w:lineRule="auto"/>
        <w:ind w:firstLine="425"/>
        <w:jc w:val="both"/>
        <w:rPr>
          <w:rFonts w:ascii="Arial" w:hAnsi="Arial" w:cs="Arial"/>
          <w:sz w:val="20"/>
          <w:szCs w:val="20"/>
          <w:vertAlign w:val="superscript"/>
          <w:lang w:val="id-ID"/>
        </w:rPr>
      </w:pPr>
      <w:r w:rsidRPr="006D5D6C">
        <w:rPr>
          <w:rFonts w:ascii="Arial" w:hAnsi="Arial" w:cs="Arial"/>
          <w:sz w:val="20"/>
          <w:szCs w:val="20"/>
          <w:lang w:val="id-ID"/>
        </w:rPr>
        <w:t>Kedua jenis anemia yang ditemukan dalam penelitian ini, besar kemungkinan disebabkan oleh k</w:t>
      </w:r>
      <w:r w:rsidRPr="006D5D6C">
        <w:rPr>
          <w:rFonts w:ascii="Arial" w:hAnsi="Arial" w:cs="Arial"/>
          <w:sz w:val="20"/>
          <w:szCs w:val="20"/>
        </w:rPr>
        <w:t xml:space="preserve">ebutuhan zat besi </w:t>
      </w:r>
      <w:r w:rsidRPr="006D5D6C">
        <w:rPr>
          <w:rFonts w:ascii="Arial" w:hAnsi="Arial" w:cs="Arial"/>
          <w:sz w:val="20"/>
          <w:szCs w:val="20"/>
          <w:lang w:val="id-ID"/>
        </w:rPr>
        <w:t xml:space="preserve">yang tinggi tanpa </w:t>
      </w:r>
      <w:r w:rsidRPr="006D5D6C">
        <w:rPr>
          <w:rFonts w:ascii="Arial" w:hAnsi="Arial" w:cs="Arial"/>
          <w:sz w:val="20"/>
          <w:szCs w:val="20"/>
        </w:rPr>
        <w:t>dukung</w:t>
      </w:r>
      <w:r w:rsidRPr="006D5D6C">
        <w:rPr>
          <w:rFonts w:ascii="Arial" w:hAnsi="Arial" w:cs="Arial"/>
          <w:sz w:val="20"/>
          <w:szCs w:val="20"/>
          <w:lang w:val="id-ID"/>
        </w:rPr>
        <w:t>an</w:t>
      </w:r>
      <w:r w:rsidRPr="006D5D6C">
        <w:rPr>
          <w:rFonts w:ascii="Arial" w:hAnsi="Arial" w:cs="Arial"/>
          <w:sz w:val="20"/>
          <w:szCs w:val="20"/>
        </w:rPr>
        <w:t xml:space="preserve"> asupan zat besi yang cukup. </w:t>
      </w:r>
      <w:r w:rsidRPr="006D5D6C">
        <w:rPr>
          <w:rFonts w:ascii="Arial" w:hAnsi="Arial" w:cs="Arial"/>
          <w:sz w:val="20"/>
          <w:szCs w:val="20"/>
          <w:lang w:val="id-ID"/>
        </w:rPr>
        <w:t>K</w:t>
      </w:r>
      <w:r w:rsidRPr="006D5D6C">
        <w:rPr>
          <w:rFonts w:ascii="Arial" w:hAnsi="Arial" w:cs="Arial"/>
          <w:sz w:val="20"/>
          <w:szCs w:val="20"/>
        </w:rPr>
        <w:t xml:space="preserve">ondisi masyarakat </w:t>
      </w:r>
      <w:r w:rsidRPr="006D5D6C">
        <w:rPr>
          <w:rFonts w:ascii="Arial" w:hAnsi="Arial" w:cs="Arial"/>
          <w:sz w:val="20"/>
          <w:szCs w:val="20"/>
          <w:lang w:val="id-ID"/>
        </w:rPr>
        <w:t>pantai</w:t>
      </w:r>
      <w:r w:rsidRPr="006D5D6C">
        <w:rPr>
          <w:rFonts w:ascii="Arial" w:hAnsi="Arial" w:cs="Arial"/>
          <w:sz w:val="20"/>
          <w:szCs w:val="20"/>
        </w:rPr>
        <w:t xml:space="preserve"> di</w:t>
      </w:r>
      <w:r w:rsidRPr="006D5D6C">
        <w:rPr>
          <w:rFonts w:ascii="Arial" w:hAnsi="Arial" w:cs="Arial"/>
          <w:sz w:val="20"/>
          <w:szCs w:val="20"/>
          <w:lang w:val="id-ID"/>
        </w:rPr>
        <w:t xml:space="preserve"> </w:t>
      </w:r>
      <w:r w:rsidRPr="006D5D6C">
        <w:rPr>
          <w:rFonts w:ascii="Arial" w:hAnsi="Arial" w:cs="Arial"/>
          <w:sz w:val="20"/>
          <w:szCs w:val="20"/>
        </w:rPr>
        <w:t>berbagai kawasan pada umumnya ditandai oleh adanya beberapa ciri seperti kemiskinan</w:t>
      </w:r>
      <w:r w:rsidRPr="006D5D6C">
        <w:rPr>
          <w:rFonts w:ascii="Arial" w:hAnsi="Arial" w:cs="Arial"/>
          <w:sz w:val="20"/>
          <w:szCs w:val="20"/>
          <w:lang w:val="id-ID"/>
        </w:rPr>
        <w:t xml:space="preserve"> </w:t>
      </w:r>
      <w:r w:rsidRPr="006D5D6C">
        <w:rPr>
          <w:rFonts w:ascii="Arial" w:hAnsi="Arial" w:cs="Arial"/>
          <w:sz w:val="20"/>
          <w:szCs w:val="20"/>
        </w:rPr>
        <w:t>dan rendahnya sumber daya manusia</w:t>
      </w:r>
      <w:r w:rsidRPr="006D5D6C">
        <w:rPr>
          <w:rFonts w:ascii="Arial" w:hAnsi="Arial" w:cs="Arial"/>
          <w:sz w:val="20"/>
          <w:szCs w:val="20"/>
          <w:lang w:val="id-ID"/>
        </w:rPr>
        <w:t xml:space="preserve">, </w:t>
      </w:r>
      <w:r w:rsidRPr="006D5D6C">
        <w:rPr>
          <w:rFonts w:ascii="Arial" w:hAnsi="Arial" w:cs="Arial"/>
          <w:sz w:val="20"/>
          <w:szCs w:val="20"/>
          <w:lang w:val="id-ID"/>
        </w:rPr>
        <w:lastRenderedPageBreak/>
        <w:t>hal ini berperan dalam kejadian anemia terutama anemi</w:t>
      </w:r>
      <w:r w:rsidR="00C931E6">
        <w:rPr>
          <w:rFonts w:ascii="Arial" w:hAnsi="Arial" w:cs="Arial"/>
          <w:sz w:val="20"/>
          <w:szCs w:val="20"/>
          <w:lang w:val="id-ID"/>
        </w:rPr>
        <w:t>a defisiensi besi</w:t>
      </w:r>
      <w:r w:rsidRPr="006D5D6C">
        <w:rPr>
          <w:rFonts w:ascii="Arial" w:hAnsi="Arial" w:cs="Arial"/>
          <w:sz w:val="20"/>
          <w:szCs w:val="20"/>
        </w:rPr>
        <w:t>.</w:t>
      </w:r>
      <w:r w:rsidR="00C931E6">
        <w:rPr>
          <w:rFonts w:ascii="Arial" w:hAnsi="Arial" w:cs="Arial"/>
          <w:sz w:val="20"/>
          <w:szCs w:val="20"/>
          <w:vertAlign w:val="superscript"/>
          <w:lang w:val="id-ID"/>
        </w:rPr>
        <w:t>4,5</w:t>
      </w:r>
    </w:p>
    <w:p w:rsidR="006D5D6C" w:rsidRDefault="006D5D6C" w:rsidP="00CF7EDF">
      <w:pPr>
        <w:spacing w:line="360" w:lineRule="auto"/>
        <w:jc w:val="both"/>
        <w:rPr>
          <w:rFonts w:ascii="Arial" w:hAnsi="Arial" w:cs="Arial"/>
          <w:b/>
          <w:sz w:val="20"/>
          <w:szCs w:val="20"/>
          <w:lang w:val="id-ID"/>
        </w:rPr>
      </w:pPr>
    </w:p>
    <w:p w:rsidR="000A04AB" w:rsidRPr="007D2CFD" w:rsidRDefault="000A04AB" w:rsidP="00CF7EDF">
      <w:pPr>
        <w:spacing w:line="360" w:lineRule="auto"/>
        <w:jc w:val="both"/>
        <w:rPr>
          <w:rFonts w:ascii="Arial" w:hAnsi="Arial" w:cs="Arial"/>
          <w:b/>
          <w:sz w:val="20"/>
          <w:szCs w:val="20"/>
          <w:lang w:val="id-ID"/>
        </w:rPr>
      </w:pPr>
      <w:r w:rsidRPr="007D2CFD">
        <w:rPr>
          <w:rFonts w:ascii="Arial" w:hAnsi="Arial" w:cs="Arial"/>
          <w:b/>
          <w:sz w:val="20"/>
          <w:szCs w:val="20"/>
          <w:lang w:val="id-ID"/>
        </w:rPr>
        <w:t>KE</w:t>
      </w:r>
      <w:r w:rsidRPr="007D2CFD">
        <w:rPr>
          <w:rFonts w:ascii="Arial" w:hAnsi="Arial" w:cs="Arial"/>
          <w:b/>
          <w:sz w:val="20"/>
          <w:szCs w:val="20"/>
        </w:rPr>
        <w:t>SIMPULAN DAN SARAN</w:t>
      </w:r>
    </w:p>
    <w:p w:rsidR="000A04AB" w:rsidRPr="007D2CFD" w:rsidRDefault="000A04AB" w:rsidP="00CF7EDF">
      <w:pPr>
        <w:spacing w:line="360" w:lineRule="auto"/>
        <w:jc w:val="both"/>
        <w:rPr>
          <w:rFonts w:ascii="Arial" w:hAnsi="Arial" w:cs="Arial"/>
          <w:b/>
          <w:sz w:val="20"/>
          <w:szCs w:val="20"/>
          <w:lang w:val="id-ID"/>
        </w:rPr>
      </w:pPr>
      <w:r w:rsidRPr="007D2CFD">
        <w:rPr>
          <w:rFonts w:ascii="Arial" w:hAnsi="Arial" w:cs="Arial"/>
          <w:b/>
          <w:sz w:val="20"/>
          <w:szCs w:val="20"/>
          <w:lang w:val="id-ID"/>
        </w:rPr>
        <w:t>Kes</w:t>
      </w:r>
      <w:r w:rsidRPr="007D2CFD">
        <w:rPr>
          <w:rFonts w:ascii="Arial" w:hAnsi="Arial" w:cs="Arial"/>
          <w:b/>
          <w:sz w:val="20"/>
          <w:szCs w:val="20"/>
        </w:rPr>
        <w:t>impulan</w:t>
      </w:r>
    </w:p>
    <w:p w:rsidR="006D5D6C" w:rsidRPr="006D5D6C" w:rsidRDefault="006D5D6C" w:rsidP="006D5D6C">
      <w:pPr>
        <w:pStyle w:val="NoSpacing"/>
        <w:numPr>
          <w:ilvl w:val="0"/>
          <w:numId w:val="30"/>
        </w:numPr>
        <w:spacing w:line="360" w:lineRule="auto"/>
        <w:ind w:left="270" w:hanging="270"/>
        <w:rPr>
          <w:rFonts w:ascii="Arial" w:hAnsi="Arial" w:cs="Arial"/>
          <w:sz w:val="20"/>
          <w:szCs w:val="20"/>
        </w:rPr>
      </w:pPr>
      <w:r w:rsidRPr="006D5D6C">
        <w:rPr>
          <w:rFonts w:ascii="Arial" w:hAnsi="Arial" w:cs="Arial"/>
          <w:sz w:val="20"/>
          <w:szCs w:val="20"/>
        </w:rPr>
        <w:t>Batas nilai normal hemoglobin populasi di daerah pantai pada siswa SMP Kecamatan Tanjung adalah 12,00 g/dl.</w:t>
      </w:r>
    </w:p>
    <w:p w:rsidR="006D5D6C" w:rsidRPr="006D5D6C" w:rsidRDefault="006D5D6C" w:rsidP="006D5D6C">
      <w:pPr>
        <w:pStyle w:val="NoSpacing"/>
        <w:numPr>
          <w:ilvl w:val="0"/>
          <w:numId w:val="30"/>
        </w:numPr>
        <w:spacing w:line="360" w:lineRule="auto"/>
        <w:ind w:left="270" w:hanging="270"/>
        <w:rPr>
          <w:rFonts w:ascii="Arial" w:hAnsi="Arial" w:cs="Arial"/>
          <w:sz w:val="20"/>
          <w:szCs w:val="20"/>
        </w:rPr>
      </w:pPr>
      <w:r w:rsidRPr="006D5D6C">
        <w:rPr>
          <w:rFonts w:ascii="Arial" w:hAnsi="Arial" w:cs="Arial"/>
          <w:noProof/>
          <w:sz w:val="20"/>
          <w:szCs w:val="20"/>
        </w:rPr>
        <w:t xml:space="preserve">Prevalensi anemia berdasarkan indeks eritrosit pada anak SMP di daerah pantai Kecamatan Tanjung Kabupaten Lombok Utara tahun 2013 adalah anemia normositik hipokromik </w:t>
      </w:r>
      <w:r w:rsidRPr="006D5D6C">
        <w:rPr>
          <w:rFonts w:ascii="Arial" w:hAnsi="Arial" w:cs="Arial"/>
          <w:color w:val="000000"/>
          <w:sz w:val="20"/>
          <w:szCs w:val="20"/>
        </w:rPr>
        <w:t xml:space="preserve">38,46% (10 </w:t>
      </w:r>
      <w:r w:rsidRPr="006D5D6C">
        <w:rPr>
          <w:rFonts w:ascii="Arial" w:hAnsi="Arial" w:cs="Arial"/>
          <w:noProof/>
          <w:sz w:val="20"/>
          <w:szCs w:val="20"/>
        </w:rPr>
        <w:t>siswa) dan 61,54% (16 siswa) mengalami anemia mikrositik hipokromik</w:t>
      </w:r>
      <w:r w:rsidRPr="006D5D6C">
        <w:rPr>
          <w:rFonts w:ascii="Arial" w:hAnsi="Arial" w:cs="Arial"/>
          <w:sz w:val="20"/>
          <w:szCs w:val="20"/>
        </w:rPr>
        <w:t xml:space="preserve">. </w:t>
      </w:r>
    </w:p>
    <w:p w:rsidR="00AF560E" w:rsidRPr="006D5D6C" w:rsidRDefault="000A04AB" w:rsidP="00AF560E">
      <w:pPr>
        <w:autoSpaceDE w:val="0"/>
        <w:autoSpaceDN w:val="0"/>
        <w:adjustRightInd w:val="0"/>
        <w:spacing w:line="360" w:lineRule="auto"/>
        <w:jc w:val="both"/>
        <w:rPr>
          <w:rStyle w:val="fullpost"/>
          <w:rFonts w:ascii="Arial" w:hAnsi="Arial" w:cs="Arial"/>
          <w:b/>
          <w:sz w:val="20"/>
          <w:szCs w:val="20"/>
        </w:rPr>
      </w:pPr>
      <w:r w:rsidRPr="006D5D6C">
        <w:rPr>
          <w:rStyle w:val="fullpost"/>
          <w:rFonts w:ascii="Arial" w:hAnsi="Arial" w:cs="Arial"/>
          <w:b/>
          <w:sz w:val="20"/>
          <w:szCs w:val="20"/>
        </w:rPr>
        <w:t>Saran</w:t>
      </w:r>
    </w:p>
    <w:p w:rsidR="006D5D6C" w:rsidRPr="006D5D6C" w:rsidRDefault="006D5D6C" w:rsidP="006D5D6C">
      <w:pPr>
        <w:pStyle w:val="ListParagraph"/>
        <w:numPr>
          <w:ilvl w:val="0"/>
          <w:numId w:val="28"/>
        </w:numPr>
        <w:spacing w:line="360" w:lineRule="auto"/>
        <w:ind w:left="284" w:hanging="284"/>
        <w:jc w:val="both"/>
        <w:rPr>
          <w:rFonts w:ascii="Arial" w:hAnsi="Arial" w:cs="Arial"/>
          <w:sz w:val="20"/>
          <w:szCs w:val="20"/>
        </w:rPr>
      </w:pPr>
      <w:r w:rsidRPr="006D5D6C">
        <w:rPr>
          <w:rFonts w:ascii="Arial" w:hAnsi="Arial" w:cs="Arial"/>
          <w:sz w:val="20"/>
          <w:szCs w:val="20"/>
        </w:rPr>
        <w:t xml:space="preserve">Perlunya dilakukan kerjasama lintas program dan lintas sektorial baik dari pemerintah, pihak sekolah, maupun masyarakat untuk menanggulangi masalah anemia tersebut. Penanggulangannya dapat melalui penyuluhan tentang masalah anemia dan pendidikan gizi kepada para guru, anak-anak, serta masyarakat. </w:t>
      </w:r>
    </w:p>
    <w:p w:rsidR="00C73FC7" w:rsidRPr="006D5D6C" w:rsidRDefault="006D5D6C" w:rsidP="00B75AE3">
      <w:pPr>
        <w:pStyle w:val="ListParagraph"/>
        <w:numPr>
          <w:ilvl w:val="0"/>
          <w:numId w:val="28"/>
        </w:numPr>
        <w:spacing w:line="360" w:lineRule="auto"/>
        <w:ind w:left="270" w:hanging="270"/>
        <w:jc w:val="both"/>
        <w:rPr>
          <w:rFonts w:ascii="Arial" w:hAnsi="Arial" w:cs="Arial"/>
          <w:sz w:val="20"/>
          <w:szCs w:val="20"/>
        </w:rPr>
      </w:pPr>
      <w:r w:rsidRPr="006D5D6C">
        <w:rPr>
          <w:rFonts w:ascii="Arial" w:hAnsi="Arial" w:cs="Arial"/>
          <w:sz w:val="20"/>
          <w:szCs w:val="20"/>
        </w:rPr>
        <w:t>Bagi peneliti selanjutnya dapat dilakukan di daerah lain khususnya sekitar pegunungan, agar dapat dijadikan perbandingan nilai rata-rata hemoglobin dan gambaran indeks eritrosit dengan populasi di daerah pantai. Selain itu dapat juga dilakukan penelitian mengenai faktor-faktor yang menyebabkan kejadian anemia mikrositik hipokromik</w:t>
      </w:r>
      <w:r w:rsidRPr="006D5D6C">
        <w:rPr>
          <w:rFonts w:ascii="Arial" w:hAnsi="Arial" w:cs="Arial"/>
          <w:sz w:val="20"/>
          <w:szCs w:val="20"/>
          <w:lang w:val="id-ID"/>
        </w:rPr>
        <w:t>.</w:t>
      </w:r>
    </w:p>
    <w:p w:rsidR="000A04AB" w:rsidRPr="007D2CFD" w:rsidRDefault="000A04AB" w:rsidP="00CF7EDF">
      <w:pPr>
        <w:spacing w:line="360" w:lineRule="auto"/>
        <w:jc w:val="both"/>
        <w:outlineLvl w:val="0"/>
        <w:rPr>
          <w:rFonts w:ascii="Arial" w:hAnsi="Arial" w:cs="Arial"/>
          <w:b/>
          <w:sz w:val="20"/>
          <w:szCs w:val="20"/>
          <w:lang w:val="id-ID"/>
        </w:rPr>
      </w:pPr>
      <w:r w:rsidRPr="007D2CFD">
        <w:rPr>
          <w:rFonts w:ascii="Arial" w:hAnsi="Arial" w:cs="Arial"/>
          <w:b/>
          <w:sz w:val="20"/>
          <w:szCs w:val="20"/>
        </w:rPr>
        <w:lastRenderedPageBreak/>
        <w:t>DAFTAR PUSTAKA</w:t>
      </w:r>
    </w:p>
    <w:p w:rsidR="00C931E6" w:rsidRPr="00ED4113" w:rsidRDefault="00C931E6" w:rsidP="00ED4113">
      <w:pPr>
        <w:pStyle w:val="NoSpacing"/>
        <w:numPr>
          <w:ilvl w:val="0"/>
          <w:numId w:val="31"/>
        </w:numPr>
        <w:spacing w:line="360" w:lineRule="auto"/>
        <w:ind w:left="284" w:hanging="284"/>
        <w:rPr>
          <w:rFonts w:ascii="Arial" w:hAnsi="Arial" w:cs="Arial"/>
          <w:sz w:val="20"/>
          <w:szCs w:val="20"/>
        </w:rPr>
      </w:pPr>
      <w:r w:rsidRPr="00ED4113">
        <w:rPr>
          <w:rFonts w:ascii="Arial" w:hAnsi="Arial" w:cs="Arial"/>
          <w:sz w:val="20"/>
          <w:szCs w:val="20"/>
        </w:rPr>
        <w:t>Blackman, S</w:t>
      </w:r>
      <w:r w:rsidRPr="00ED4113">
        <w:rPr>
          <w:rFonts w:ascii="Arial" w:hAnsi="Arial" w:cs="Arial"/>
          <w:sz w:val="20"/>
          <w:szCs w:val="20"/>
          <w:lang w:val="id-ID"/>
        </w:rPr>
        <w:t>.</w:t>
      </w:r>
      <w:r w:rsidRPr="00ED4113">
        <w:rPr>
          <w:rFonts w:ascii="Arial" w:hAnsi="Arial" w:cs="Arial"/>
          <w:sz w:val="20"/>
          <w:szCs w:val="20"/>
        </w:rPr>
        <w:t>C &amp; Gonzalez J</w:t>
      </w:r>
      <w:r w:rsidRPr="00ED4113">
        <w:rPr>
          <w:rFonts w:ascii="Arial" w:hAnsi="Arial" w:cs="Arial"/>
          <w:sz w:val="20"/>
          <w:szCs w:val="20"/>
          <w:lang w:val="id-ID"/>
        </w:rPr>
        <w:t>.</w:t>
      </w:r>
      <w:r w:rsidRPr="00ED4113">
        <w:rPr>
          <w:rFonts w:ascii="Arial" w:hAnsi="Arial" w:cs="Arial"/>
          <w:sz w:val="20"/>
          <w:szCs w:val="20"/>
        </w:rPr>
        <w:t xml:space="preserve">A del Rey. 2005. Hematologic Emergencies: Acute Anemia. </w:t>
      </w:r>
      <w:r w:rsidRPr="00ED4113">
        <w:rPr>
          <w:rFonts w:ascii="Arial" w:hAnsi="Arial" w:cs="Arial"/>
          <w:i/>
          <w:sz w:val="20"/>
          <w:szCs w:val="20"/>
        </w:rPr>
        <w:t>Clin Ped Emerg Med</w:t>
      </w:r>
      <w:r w:rsidRPr="00ED4113">
        <w:rPr>
          <w:rFonts w:ascii="Arial" w:hAnsi="Arial" w:cs="Arial"/>
          <w:i/>
          <w:sz w:val="20"/>
          <w:szCs w:val="20"/>
          <w:lang w:val="id-ID"/>
        </w:rPr>
        <w:t>,</w:t>
      </w:r>
      <w:r w:rsidRPr="00ED4113">
        <w:rPr>
          <w:rFonts w:ascii="Arial" w:hAnsi="Arial" w:cs="Arial"/>
          <w:sz w:val="20"/>
          <w:szCs w:val="20"/>
        </w:rPr>
        <w:t xml:space="preserve"> 6:124-137.</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lang w:val="id-ID"/>
        </w:rPr>
        <w:t xml:space="preserve">Sudoyo, A.W., Setiyohadi, B., Alwi, I. dkk. 2008. </w:t>
      </w:r>
      <w:r w:rsidRPr="00ED4113">
        <w:rPr>
          <w:rFonts w:ascii="Arial" w:hAnsi="Arial" w:cs="Arial"/>
          <w:i/>
          <w:sz w:val="20"/>
          <w:szCs w:val="20"/>
          <w:lang w:val="id-ID"/>
        </w:rPr>
        <w:t>Buku Ajar Ilmu Penyakit Dalam Jilid II</w:t>
      </w:r>
      <w:r w:rsidRPr="00ED4113">
        <w:rPr>
          <w:rFonts w:ascii="Arial" w:hAnsi="Arial" w:cs="Arial"/>
          <w:sz w:val="20"/>
          <w:szCs w:val="20"/>
          <w:lang w:val="id-ID"/>
        </w:rPr>
        <w:t>. Jakarta: Interna Publishing.</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Esa, T.</w:t>
      </w:r>
      <w:r w:rsidRPr="00ED4113">
        <w:rPr>
          <w:rFonts w:ascii="Arial" w:hAnsi="Arial" w:cs="Arial"/>
          <w:sz w:val="20"/>
          <w:szCs w:val="20"/>
          <w:lang w:val="id-ID"/>
        </w:rPr>
        <w:t xml:space="preserve">, </w:t>
      </w:r>
      <w:r w:rsidRPr="00ED4113">
        <w:rPr>
          <w:rFonts w:ascii="Arial" w:hAnsi="Arial" w:cs="Arial"/>
          <w:sz w:val="20"/>
          <w:szCs w:val="20"/>
        </w:rPr>
        <w:t>Aprianti</w:t>
      </w:r>
      <w:r w:rsidRPr="00ED4113">
        <w:rPr>
          <w:rFonts w:ascii="Arial" w:hAnsi="Arial" w:cs="Arial"/>
          <w:sz w:val="20"/>
          <w:szCs w:val="20"/>
          <w:lang w:val="id-ID"/>
        </w:rPr>
        <w:t>,</w:t>
      </w:r>
      <w:r w:rsidRPr="00ED4113">
        <w:rPr>
          <w:rFonts w:ascii="Arial" w:hAnsi="Arial" w:cs="Arial"/>
          <w:sz w:val="20"/>
          <w:szCs w:val="20"/>
        </w:rPr>
        <w:t xml:space="preserve"> S</w:t>
      </w:r>
      <w:r w:rsidRPr="00ED4113">
        <w:rPr>
          <w:rFonts w:ascii="Arial" w:hAnsi="Arial" w:cs="Arial"/>
          <w:sz w:val="20"/>
          <w:szCs w:val="20"/>
          <w:lang w:val="id-ID"/>
        </w:rPr>
        <w:t>.</w:t>
      </w:r>
      <w:r w:rsidRPr="00ED4113">
        <w:rPr>
          <w:rFonts w:ascii="Arial" w:hAnsi="Arial" w:cs="Arial"/>
          <w:sz w:val="20"/>
          <w:szCs w:val="20"/>
        </w:rPr>
        <w:t>, &amp;  Hardjoeno, M</w:t>
      </w:r>
      <w:r w:rsidRPr="00ED4113">
        <w:rPr>
          <w:rFonts w:ascii="Arial" w:hAnsi="Arial" w:cs="Arial"/>
          <w:sz w:val="20"/>
          <w:szCs w:val="20"/>
          <w:lang w:val="id-ID"/>
        </w:rPr>
        <w:t>.</w:t>
      </w:r>
      <w:r w:rsidRPr="00ED4113">
        <w:rPr>
          <w:rFonts w:ascii="Arial" w:hAnsi="Arial" w:cs="Arial"/>
          <w:sz w:val="20"/>
          <w:szCs w:val="20"/>
        </w:rPr>
        <w:t>A</w:t>
      </w:r>
      <w:r w:rsidRPr="00ED4113">
        <w:rPr>
          <w:rFonts w:ascii="Arial" w:hAnsi="Arial" w:cs="Arial"/>
          <w:sz w:val="20"/>
          <w:szCs w:val="20"/>
          <w:lang w:val="id-ID"/>
        </w:rPr>
        <w:t>.</w:t>
      </w:r>
      <w:r w:rsidRPr="00ED4113">
        <w:rPr>
          <w:rFonts w:ascii="Arial" w:hAnsi="Arial" w:cs="Arial"/>
          <w:sz w:val="20"/>
          <w:szCs w:val="20"/>
        </w:rPr>
        <w:t xml:space="preserve"> 2006. Nilai Rujukan Hematologi pada Orang Dewasa Sehat Berdasarkan Sysmex Xt-1800i.</w:t>
      </w:r>
      <w:r w:rsidRPr="00ED4113">
        <w:rPr>
          <w:rFonts w:ascii="Arial" w:hAnsi="Arial" w:cs="Arial"/>
          <w:sz w:val="20"/>
          <w:szCs w:val="20"/>
          <w:lang w:val="id-ID"/>
        </w:rPr>
        <w:t xml:space="preserve"> </w:t>
      </w:r>
      <w:r w:rsidRPr="00ED4113">
        <w:rPr>
          <w:rFonts w:ascii="Arial" w:hAnsi="Arial" w:cs="Arial"/>
          <w:i/>
          <w:iCs/>
          <w:sz w:val="20"/>
          <w:szCs w:val="20"/>
        </w:rPr>
        <w:t>Indo Journal of Clin Path and Medl Lab</w:t>
      </w:r>
      <w:r w:rsidRPr="00ED4113">
        <w:rPr>
          <w:rFonts w:ascii="Arial" w:hAnsi="Arial" w:cs="Arial"/>
          <w:sz w:val="20"/>
          <w:szCs w:val="20"/>
        </w:rPr>
        <w:t>, Vol. 12, No. 3, pp.127-130.</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Fedriansyah</w:t>
      </w:r>
      <w:r w:rsidRPr="00ED4113">
        <w:rPr>
          <w:rFonts w:ascii="Arial" w:hAnsi="Arial" w:cs="Arial"/>
          <w:sz w:val="20"/>
          <w:szCs w:val="20"/>
          <w:lang w:val="id-ID"/>
        </w:rPr>
        <w:t>,</w:t>
      </w:r>
      <w:r w:rsidRPr="00ED4113">
        <w:rPr>
          <w:rFonts w:ascii="Arial" w:hAnsi="Arial" w:cs="Arial"/>
          <w:sz w:val="20"/>
          <w:szCs w:val="20"/>
        </w:rPr>
        <w:t xml:space="preserve"> A</w:t>
      </w:r>
      <w:r w:rsidRPr="00ED4113">
        <w:rPr>
          <w:rFonts w:ascii="Arial" w:hAnsi="Arial" w:cs="Arial"/>
          <w:sz w:val="20"/>
          <w:szCs w:val="20"/>
          <w:lang w:val="id-ID"/>
        </w:rPr>
        <w:t>.</w:t>
      </w:r>
      <w:r w:rsidRPr="00ED4113">
        <w:rPr>
          <w:rFonts w:ascii="Arial" w:hAnsi="Arial" w:cs="Arial"/>
          <w:sz w:val="20"/>
          <w:szCs w:val="20"/>
        </w:rPr>
        <w:t xml:space="preserve">M. 2008. </w:t>
      </w:r>
      <w:r w:rsidRPr="00ED4113">
        <w:rPr>
          <w:rFonts w:ascii="Arial" w:hAnsi="Arial" w:cs="Arial"/>
          <w:i/>
          <w:sz w:val="20"/>
          <w:szCs w:val="20"/>
        </w:rPr>
        <w:t>Evaluasi Kinerja Program Pemberdayaan Ekonomi Masyarakat Pesisir (Pemp) di Kecamatan Tugu, Semarang.</w:t>
      </w:r>
      <w:r w:rsidRPr="00ED4113">
        <w:rPr>
          <w:rFonts w:ascii="Arial" w:hAnsi="Arial" w:cs="Arial"/>
          <w:sz w:val="20"/>
          <w:szCs w:val="20"/>
        </w:rPr>
        <w:t xml:space="preserve"> Semarang: Fakultas Ilmu Sosial </w:t>
      </w:r>
      <w:r w:rsidRPr="00ED4113">
        <w:rPr>
          <w:rFonts w:ascii="Arial" w:hAnsi="Arial" w:cs="Arial"/>
          <w:sz w:val="20"/>
          <w:szCs w:val="20"/>
          <w:lang w:val="id-ID"/>
        </w:rPr>
        <w:t>d</w:t>
      </w:r>
      <w:r w:rsidRPr="00ED4113">
        <w:rPr>
          <w:rFonts w:ascii="Arial" w:hAnsi="Arial" w:cs="Arial"/>
          <w:sz w:val="20"/>
          <w:szCs w:val="20"/>
        </w:rPr>
        <w:t>an Ilmu Politik Un</w:t>
      </w:r>
      <w:r w:rsidRPr="00ED4113">
        <w:rPr>
          <w:rFonts w:ascii="Arial" w:hAnsi="Arial" w:cs="Arial"/>
          <w:sz w:val="20"/>
          <w:szCs w:val="20"/>
          <w:lang w:val="id-ID"/>
        </w:rPr>
        <w:t>dip.</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lang w:val="id-ID"/>
        </w:rPr>
        <w:t xml:space="preserve">Manampiring, A.E., Warouw, F. 2010. </w:t>
      </w:r>
      <w:r w:rsidRPr="00ED4113">
        <w:rPr>
          <w:rFonts w:ascii="Arial" w:hAnsi="Arial" w:cs="Arial"/>
          <w:i/>
          <w:sz w:val="20"/>
          <w:szCs w:val="20"/>
          <w:lang w:val="id-ID"/>
        </w:rPr>
        <w:t>Hubungan Anemia Defisiensi Besi Dengan Prestasi Belajar Pada Siswa SMP Negeri 3 Manado</w:t>
      </w:r>
      <w:r w:rsidRPr="00ED4113">
        <w:rPr>
          <w:rFonts w:ascii="Arial" w:hAnsi="Arial" w:cs="Arial"/>
          <w:sz w:val="20"/>
          <w:szCs w:val="20"/>
          <w:lang w:val="id-ID"/>
        </w:rPr>
        <w:t xml:space="preserve">. Manado : Universitas Sam Ratulangi. </w:t>
      </w:r>
      <w:r w:rsidRPr="00ED4113">
        <w:rPr>
          <w:rFonts w:ascii="Arial" w:hAnsi="Arial" w:cs="Arial"/>
          <w:sz w:val="20"/>
          <w:szCs w:val="20"/>
        </w:rPr>
        <w:t xml:space="preserve">Available at : </w:t>
      </w:r>
      <w:hyperlink r:id="rId11" w:history="1">
        <w:r w:rsidRPr="00ED4113">
          <w:rPr>
            <w:rStyle w:val="Hyperlink"/>
            <w:rFonts w:ascii="Arial" w:hAnsi="Arial" w:cs="Arial"/>
            <w:color w:val="000000" w:themeColor="text1"/>
            <w:sz w:val="20"/>
            <w:szCs w:val="20"/>
          </w:rPr>
          <w:t>http://repo.unsrat.ac.id/258/1/</w:t>
        </w:r>
        <w:r w:rsidRPr="00ED4113">
          <w:rPr>
            <w:rStyle w:val="Hyperlink"/>
            <w:rFonts w:ascii="Arial" w:hAnsi="Arial" w:cs="Arial"/>
            <w:color w:val="000000" w:themeColor="text1"/>
            <w:sz w:val="20"/>
            <w:szCs w:val="20"/>
            <w:lang w:val="id-ID"/>
          </w:rPr>
          <w:t xml:space="preserve"> </w:t>
        </w:r>
        <w:r w:rsidRPr="00ED4113">
          <w:rPr>
            <w:rStyle w:val="Hyperlink"/>
            <w:rFonts w:ascii="Arial" w:hAnsi="Arial" w:cs="Arial"/>
            <w:color w:val="000000" w:themeColor="text1"/>
            <w:sz w:val="20"/>
            <w:szCs w:val="20"/>
          </w:rPr>
          <w:t>Hubungan_Anemia_Defisiensi_Besi_dengan....pdf</w:t>
        </w:r>
      </w:hyperlink>
      <w:r w:rsidRPr="00ED4113">
        <w:rPr>
          <w:rFonts w:ascii="Arial" w:hAnsi="Arial" w:cs="Arial"/>
          <w:color w:val="000000" w:themeColor="text1"/>
          <w:sz w:val="20"/>
          <w:szCs w:val="20"/>
        </w:rPr>
        <w:t>. [Accessed January 28, 2014]</w:t>
      </w:r>
      <w:r w:rsidRPr="00ED4113">
        <w:rPr>
          <w:rFonts w:ascii="Arial" w:hAnsi="Arial" w:cs="Arial"/>
          <w:color w:val="000000" w:themeColor="text1"/>
          <w:sz w:val="20"/>
          <w:szCs w:val="20"/>
          <w:lang w:val="id-ID"/>
        </w:rPr>
        <w:t>.</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lang w:val="id-ID"/>
        </w:rPr>
        <w:t xml:space="preserve">Sinatra, M.T., Suharsono, Siswanto, F. 2009. </w:t>
      </w:r>
      <w:r w:rsidRPr="00ED4113">
        <w:rPr>
          <w:rFonts w:ascii="Arial" w:hAnsi="Arial" w:cs="Arial"/>
          <w:bCs/>
          <w:sz w:val="20"/>
          <w:szCs w:val="20"/>
          <w:lang w:val="id-ID"/>
        </w:rPr>
        <w:t xml:space="preserve">Perbedaan prevalensi anemia defisiensi besi pada perempuan hamil di daerah pantai dan pegunungan di wilayah </w:t>
      </w:r>
      <w:r w:rsidRPr="00ED4113">
        <w:rPr>
          <w:rFonts w:ascii="Arial" w:hAnsi="Arial" w:cs="Arial"/>
          <w:bCs/>
          <w:sz w:val="20"/>
          <w:szCs w:val="20"/>
          <w:lang w:val="id-ID"/>
        </w:rPr>
        <w:lastRenderedPageBreak/>
        <w:t>Semarang.</w:t>
      </w:r>
      <w:r w:rsidRPr="00ED4113">
        <w:rPr>
          <w:rFonts w:ascii="Arial" w:hAnsi="Arial" w:cs="Arial"/>
          <w:b/>
          <w:bCs/>
          <w:sz w:val="20"/>
          <w:szCs w:val="20"/>
          <w:lang w:val="id-ID"/>
        </w:rPr>
        <w:t xml:space="preserve"> </w:t>
      </w:r>
      <w:r w:rsidRPr="00ED4113">
        <w:rPr>
          <w:rFonts w:ascii="Arial" w:hAnsi="Arial" w:cs="Arial"/>
          <w:bCs/>
          <w:i/>
          <w:sz w:val="20"/>
          <w:szCs w:val="20"/>
          <w:lang w:val="id-ID"/>
        </w:rPr>
        <w:t xml:space="preserve">Maj Obstet Ginekol Indones, </w:t>
      </w:r>
      <w:r w:rsidRPr="00ED4113">
        <w:rPr>
          <w:rFonts w:ascii="Arial" w:hAnsi="Arial" w:cs="Arial"/>
          <w:iCs/>
          <w:sz w:val="20"/>
          <w:szCs w:val="20"/>
          <w:lang w:val="id-ID"/>
        </w:rPr>
        <w:t>Vol 33, No 2.</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Di</w:t>
      </w:r>
      <w:r w:rsidRPr="00ED4113">
        <w:rPr>
          <w:rFonts w:ascii="Arial" w:hAnsi="Arial" w:cs="Arial"/>
          <w:sz w:val="20"/>
          <w:szCs w:val="20"/>
          <w:lang w:val="id-ID"/>
        </w:rPr>
        <w:t>s</w:t>
      </w:r>
      <w:r w:rsidRPr="00ED4113">
        <w:rPr>
          <w:rFonts w:ascii="Arial" w:hAnsi="Arial" w:cs="Arial"/>
          <w:sz w:val="20"/>
          <w:szCs w:val="20"/>
        </w:rPr>
        <w:t>kes NTB</w:t>
      </w:r>
      <w:r w:rsidRPr="00ED4113">
        <w:rPr>
          <w:rFonts w:ascii="Arial" w:hAnsi="Arial" w:cs="Arial"/>
          <w:sz w:val="20"/>
          <w:szCs w:val="20"/>
          <w:lang w:val="id-ID"/>
        </w:rPr>
        <w:t>.</w:t>
      </w:r>
      <w:r w:rsidRPr="00ED4113">
        <w:rPr>
          <w:rFonts w:ascii="Arial" w:hAnsi="Arial" w:cs="Arial"/>
          <w:sz w:val="20"/>
          <w:szCs w:val="20"/>
        </w:rPr>
        <w:t xml:space="preserve"> 2012. </w:t>
      </w:r>
      <w:r w:rsidRPr="00ED4113">
        <w:rPr>
          <w:rFonts w:ascii="Arial" w:hAnsi="Arial" w:cs="Arial"/>
          <w:i/>
          <w:sz w:val="20"/>
          <w:szCs w:val="20"/>
        </w:rPr>
        <w:t>Profil Dinas Kesehatan  Provinsi Nusa Tenggara Barat  Tahun</w:t>
      </w:r>
      <w:r w:rsidRPr="00ED4113">
        <w:rPr>
          <w:rFonts w:ascii="Arial" w:hAnsi="Arial" w:cs="Arial"/>
          <w:i/>
          <w:sz w:val="20"/>
          <w:szCs w:val="20"/>
          <w:lang w:val="id-ID"/>
        </w:rPr>
        <w:t xml:space="preserve"> </w:t>
      </w:r>
      <w:r w:rsidRPr="00ED4113">
        <w:rPr>
          <w:rFonts w:ascii="Arial" w:hAnsi="Arial" w:cs="Arial"/>
          <w:i/>
          <w:sz w:val="20"/>
          <w:szCs w:val="20"/>
        </w:rPr>
        <w:t>2012.</w:t>
      </w:r>
      <w:r w:rsidRPr="00ED4113">
        <w:rPr>
          <w:rFonts w:ascii="Arial" w:hAnsi="Arial" w:cs="Arial"/>
          <w:sz w:val="20"/>
          <w:szCs w:val="20"/>
        </w:rPr>
        <w:t xml:space="preserve"> Dinas Kesehatan Provinsi Nusa Tenggara Barat</w:t>
      </w:r>
      <w:r w:rsidRPr="00ED4113">
        <w:rPr>
          <w:rFonts w:ascii="Arial" w:hAnsi="Arial" w:cs="Arial"/>
          <w:sz w:val="20"/>
          <w:szCs w:val="20"/>
          <w:lang w:val="id-ID"/>
        </w:rPr>
        <w:t>.</w:t>
      </w:r>
    </w:p>
    <w:p w:rsidR="00ED4113" w:rsidRPr="00ED4113" w:rsidRDefault="00C931E6"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bCs/>
          <w:sz w:val="20"/>
          <w:szCs w:val="20"/>
        </w:rPr>
        <w:t>Oehadian, A. 2012.</w:t>
      </w:r>
      <w:r w:rsidRPr="00ED4113">
        <w:rPr>
          <w:rFonts w:ascii="Arial" w:hAnsi="Arial" w:cs="Arial"/>
          <w:bCs/>
          <w:sz w:val="20"/>
          <w:szCs w:val="20"/>
          <w:lang w:val="id-ID"/>
        </w:rPr>
        <w:t xml:space="preserve"> </w:t>
      </w:r>
      <w:r w:rsidRPr="00ED4113">
        <w:rPr>
          <w:rFonts w:ascii="Arial" w:hAnsi="Arial" w:cs="Arial"/>
          <w:bCs/>
          <w:sz w:val="20"/>
          <w:szCs w:val="20"/>
        </w:rPr>
        <w:t>Pendekatan Klinis dan Diagnosis Anemia.</w:t>
      </w:r>
      <w:r w:rsidRPr="00ED4113">
        <w:rPr>
          <w:rFonts w:ascii="Arial" w:hAnsi="Arial" w:cs="Arial"/>
          <w:bCs/>
          <w:i/>
          <w:sz w:val="20"/>
          <w:szCs w:val="20"/>
          <w:lang w:val="id-ID"/>
        </w:rPr>
        <w:t xml:space="preserve"> </w:t>
      </w:r>
      <w:r w:rsidRPr="00ED4113">
        <w:rPr>
          <w:rFonts w:ascii="Arial" w:hAnsi="Arial" w:cs="Arial"/>
          <w:bCs/>
          <w:i/>
          <w:sz w:val="20"/>
          <w:szCs w:val="20"/>
        </w:rPr>
        <w:t>C</w:t>
      </w:r>
      <w:r w:rsidRPr="00ED4113">
        <w:rPr>
          <w:rFonts w:ascii="Arial" w:hAnsi="Arial" w:cs="Arial"/>
          <w:bCs/>
          <w:i/>
          <w:sz w:val="20"/>
          <w:szCs w:val="20"/>
          <w:lang w:val="id-ID"/>
        </w:rPr>
        <w:t>DK</w:t>
      </w:r>
      <w:r w:rsidRPr="00ED4113">
        <w:rPr>
          <w:rFonts w:ascii="Arial" w:hAnsi="Arial" w:cs="Arial"/>
          <w:bCs/>
          <w:i/>
          <w:sz w:val="20"/>
          <w:szCs w:val="20"/>
        </w:rPr>
        <w:t xml:space="preserve"> -194</w:t>
      </w:r>
      <w:r w:rsidRPr="00ED4113">
        <w:rPr>
          <w:rFonts w:ascii="Arial" w:hAnsi="Arial" w:cs="Arial"/>
          <w:bCs/>
          <w:sz w:val="20"/>
          <w:szCs w:val="20"/>
        </w:rPr>
        <w:t>, Vol. 39, No. 6, pp. 407-412</w:t>
      </w:r>
      <w:r w:rsidRPr="00ED4113">
        <w:rPr>
          <w:rFonts w:ascii="Arial" w:hAnsi="Arial" w:cs="Arial"/>
          <w:bCs/>
          <w:sz w:val="20"/>
          <w:szCs w:val="20"/>
          <w:lang w:val="id-ID"/>
        </w:rPr>
        <w:t>.</w:t>
      </w:r>
    </w:p>
    <w:p w:rsidR="00ED4113"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 xml:space="preserve">WHO. 2008. </w:t>
      </w:r>
      <w:r w:rsidRPr="00ED4113">
        <w:rPr>
          <w:rFonts w:ascii="Arial" w:hAnsi="Arial" w:cs="Arial"/>
          <w:i/>
          <w:sz w:val="20"/>
          <w:szCs w:val="20"/>
        </w:rPr>
        <w:t>Worldwide Prevalence of Anemia 1993-2005</w:t>
      </w:r>
      <w:r w:rsidRPr="00ED4113">
        <w:rPr>
          <w:rFonts w:ascii="Arial" w:hAnsi="Arial" w:cs="Arial"/>
          <w:sz w:val="20"/>
          <w:szCs w:val="20"/>
        </w:rPr>
        <w:t>. WHO Global Database on Anemia</w:t>
      </w:r>
      <w:r w:rsidRPr="00ED4113">
        <w:rPr>
          <w:rFonts w:ascii="Arial" w:hAnsi="Arial" w:cs="Arial"/>
          <w:sz w:val="20"/>
          <w:szCs w:val="20"/>
          <w:lang w:val="id-ID"/>
        </w:rPr>
        <w:t>.</w:t>
      </w:r>
    </w:p>
    <w:p w:rsidR="00ED4113"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Price, S</w:t>
      </w:r>
      <w:r w:rsidRPr="00ED4113">
        <w:rPr>
          <w:rFonts w:ascii="Arial" w:hAnsi="Arial" w:cs="Arial"/>
          <w:sz w:val="20"/>
          <w:szCs w:val="20"/>
          <w:lang w:val="id-ID"/>
        </w:rPr>
        <w:t>.</w:t>
      </w:r>
      <w:r w:rsidRPr="00ED4113">
        <w:rPr>
          <w:rFonts w:ascii="Arial" w:hAnsi="Arial" w:cs="Arial"/>
          <w:sz w:val="20"/>
          <w:szCs w:val="20"/>
        </w:rPr>
        <w:t>A.,&amp; Wilson, L</w:t>
      </w:r>
      <w:r w:rsidRPr="00ED4113">
        <w:rPr>
          <w:rFonts w:ascii="Arial" w:hAnsi="Arial" w:cs="Arial"/>
          <w:sz w:val="20"/>
          <w:szCs w:val="20"/>
          <w:lang w:val="id-ID"/>
        </w:rPr>
        <w:t>.</w:t>
      </w:r>
      <w:r w:rsidRPr="00ED4113">
        <w:rPr>
          <w:rFonts w:ascii="Arial" w:hAnsi="Arial" w:cs="Arial"/>
          <w:sz w:val="20"/>
          <w:szCs w:val="20"/>
        </w:rPr>
        <w:t xml:space="preserve">M. 2006. </w:t>
      </w:r>
      <w:r w:rsidRPr="00ED4113">
        <w:rPr>
          <w:rFonts w:ascii="Arial" w:hAnsi="Arial" w:cs="Arial"/>
          <w:i/>
          <w:sz w:val="20"/>
          <w:szCs w:val="20"/>
        </w:rPr>
        <w:t>Patofisiologi Konsep Klinis Proses-</w:t>
      </w:r>
      <w:r w:rsidRPr="00ED4113">
        <w:rPr>
          <w:rFonts w:ascii="Arial" w:hAnsi="Arial" w:cs="Arial"/>
          <w:i/>
          <w:sz w:val="20"/>
          <w:szCs w:val="20"/>
          <w:lang w:val="id-ID"/>
        </w:rPr>
        <w:t>P</w:t>
      </w:r>
      <w:r w:rsidRPr="00ED4113">
        <w:rPr>
          <w:rFonts w:ascii="Arial" w:hAnsi="Arial" w:cs="Arial"/>
          <w:i/>
          <w:sz w:val="20"/>
          <w:szCs w:val="20"/>
        </w:rPr>
        <w:t xml:space="preserve">roses Penyakit vol </w:t>
      </w:r>
      <w:r w:rsidRPr="00ED4113">
        <w:rPr>
          <w:rFonts w:ascii="Arial" w:hAnsi="Arial" w:cs="Arial"/>
          <w:i/>
          <w:sz w:val="20"/>
          <w:szCs w:val="20"/>
          <w:lang w:val="id-ID"/>
        </w:rPr>
        <w:t>,</w:t>
      </w:r>
      <w:r w:rsidRPr="00ED4113">
        <w:rPr>
          <w:rFonts w:ascii="Arial" w:hAnsi="Arial" w:cs="Arial"/>
          <w:sz w:val="20"/>
          <w:szCs w:val="20"/>
        </w:rPr>
        <w:t xml:space="preserve"> </w:t>
      </w:r>
      <w:r w:rsidRPr="00ED4113">
        <w:rPr>
          <w:rFonts w:ascii="Arial" w:hAnsi="Arial" w:cs="Arial"/>
          <w:i/>
          <w:sz w:val="20"/>
          <w:szCs w:val="20"/>
        </w:rPr>
        <w:t>edisi 6.</w:t>
      </w:r>
      <w:r w:rsidRPr="00ED4113">
        <w:rPr>
          <w:rFonts w:ascii="Arial" w:hAnsi="Arial" w:cs="Arial"/>
          <w:sz w:val="20"/>
          <w:szCs w:val="20"/>
        </w:rPr>
        <w:t xml:space="preserve"> Jakarta: EGC</w:t>
      </w:r>
      <w:r w:rsidRPr="00ED4113">
        <w:rPr>
          <w:rFonts w:ascii="Arial" w:hAnsi="Arial" w:cs="Arial"/>
          <w:sz w:val="20"/>
          <w:szCs w:val="20"/>
          <w:lang w:val="id-ID"/>
        </w:rPr>
        <w:t>.</w:t>
      </w:r>
    </w:p>
    <w:p w:rsidR="00ED4113"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Depkes RI</w:t>
      </w:r>
      <w:r w:rsidRPr="00ED4113">
        <w:rPr>
          <w:rFonts w:ascii="Arial" w:hAnsi="Arial" w:cs="Arial"/>
          <w:sz w:val="20"/>
          <w:szCs w:val="20"/>
          <w:lang w:val="id-ID"/>
        </w:rPr>
        <w:t>.</w:t>
      </w:r>
      <w:r w:rsidRPr="00ED4113">
        <w:rPr>
          <w:rFonts w:ascii="Arial" w:hAnsi="Arial" w:cs="Arial"/>
          <w:sz w:val="20"/>
          <w:szCs w:val="20"/>
        </w:rPr>
        <w:t xml:space="preserve"> 2006. </w:t>
      </w:r>
      <w:r w:rsidRPr="00ED4113">
        <w:rPr>
          <w:rFonts w:ascii="Arial" w:hAnsi="Arial" w:cs="Arial"/>
          <w:i/>
          <w:sz w:val="20"/>
          <w:szCs w:val="20"/>
        </w:rPr>
        <w:t>Glosarium Data Informasi Kesehatan</w:t>
      </w:r>
      <w:r w:rsidRPr="00ED4113">
        <w:rPr>
          <w:rFonts w:ascii="Arial" w:hAnsi="Arial" w:cs="Arial"/>
          <w:sz w:val="20"/>
          <w:szCs w:val="20"/>
        </w:rPr>
        <w:t xml:space="preserve">. Jakarta: Pusat Data dan </w:t>
      </w:r>
      <w:r w:rsidRPr="00ED4113">
        <w:rPr>
          <w:rFonts w:ascii="Arial" w:hAnsi="Arial" w:cs="Arial"/>
          <w:color w:val="000000" w:themeColor="text1"/>
          <w:sz w:val="20"/>
          <w:szCs w:val="20"/>
        </w:rPr>
        <w:t>Informasi.</w:t>
      </w:r>
      <w:r w:rsidRPr="00ED4113">
        <w:rPr>
          <w:rFonts w:ascii="Arial" w:hAnsi="Arial" w:cs="Arial"/>
          <w:color w:val="000000" w:themeColor="text1"/>
          <w:sz w:val="20"/>
          <w:szCs w:val="20"/>
          <w:lang w:val="id-ID"/>
        </w:rPr>
        <w:t xml:space="preserve"> </w:t>
      </w:r>
      <w:r w:rsidRPr="00ED4113">
        <w:rPr>
          <w:rFonts w:ascii="Arial" w:hAnsi="Arial" w:cs="Arial"/>
          <w:bCs/>
          <w:color w:val="000000" w:themeColor="text1"/>
          <w:sz w:val="20"/>
          <w:szCs w:val="20"/>
        </w:rPr>
        <w:t>Available at:</w:t>
      </w:r>
      <w:r w:rsidRPr="00ED4113">
        <w:rPr>
          <w:rFonts w:ascii="Arial" w:hAnsi="Arial" w:cs="Arial"/>
          <w:bCs/>
          <w:color w:val="000000" w:themeColor="text1"/>
          <w:sz w:val="20"/>
          <w:szCs w:val="20"/>
          <w:lang w:val="id-ID"/>
        </w:rPr>
        <w:t xml:space="preserve"> </w:t>
      </w:r>
      <w:hyperlink r:id="rId12" w:history="1">
        <w:r w:rsidRPr="00ED4113">
          <w:rPr>
            <w:rStyle w:val="Hyperlink"/>
            <w:rFonts w:ascii="Arial" w:hAnsi="Arial" w:cs="Arial"/>
            <w:bCs/>
            <w:color w:val="000000" w:themeColor="text1"/>
            <w:sz w:val="20"/>
            <w:szCs w:val="20"/>
            <w:lang w:val="id-ID"/>
          </w:rPr>
          <w:t>www.depkes.go.id/download/publikasi/ glosarium2006.pdf</w:t>
        </w:r>
      </w:hyperlink>
      <w:r w:rsidRPr="00ED4113">
        <w:rPr>
          <w:rFonts w:ascii="Arial" w:hAnsi="Arial" w:cs="Arial"/>
          <w:bCs/>
          <w:color w:val="000000" w:themeColor="text1"/>
          <w:sz w:val="20"/>
          <w:szCs w:val="20"/>
          <w:lang w:val="id-ID"/>
        </w:rPr>
        <w:t xml:space="preserve">. </w:t>
      </w:r>
      <w:r w:rsidRPr="00ED4113">
        <w:rPr>
          <w:rFonts w:ascii="Arial" w:hAnsi="Arial" w:cs="Arial"/>
          <w:color w:val="000000" w:themeColor="text1"/>
          <w:sz w:val="20"/>
          <w:szCs w:val="20"/>
        </w:rPr>
        <w:t>[Accessed January 28, 2014]</w:t>
      </w:r>
      <w:r w:rsidRPr="00ED4113">
        <w:rPr>
          <w:rFonts w:ascii="Arial" w:hAnsi="Arial" w:cs="Arial"/>
          <w:color w:val="000000" w:themeColor="text1"/>
          <w:sz w:val="20"/>
          <w:szCs w:val="20"/>
          <w:lang w:val="id-ID"/>
        </w:rPr>
        <w:t>.</w:t>
      </w:r>
    </w:p>
    <w:p w:rsidR="00ED4113"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 xml:space="preserve">Permaesih, D. &amp; Herman, S. 2005. Faktor-Faktor yang Mempengaruhi Anemia pada Remaja. Badan Linbankes : </w:t>
      </w:r>
      <w:r w:rsidRPr="00ED4113">
        <w:rPr>
          <w:rFonts w:ascii="Arial" w:hAnsi="Arial" w:cs="Arial"/>
          <w:i/>
          <w:sz w:val="20"/>
          <w:szCs w:val="20"/>
        </w:rPr>
        <w:t>Bul Panel Kesehatan</w:t>
      </w:r>
      <w:r w:rsidRPr="00ED4113">
        <w:rPr>
          <w:rFonts w:ascii="Arial" w:hAnsi="Arial" w:cs="Arial"/>
          <w:sz w:val="20"/>
          <w:szCs w:val="20"/>
        </w:rPr>
        <w:t>, Vol. 33, No. 4: 162-171</w:t>
      </w:r>
      <w:r w:rsidRPr="00ED4113">
        <w:rPr>
          <w:rFonts w:ascii="Arial" w:hAnsi="Arial" w:cs="Arial"/>
          <w:sz w:val="20"/>
          <w:szCs w:val="20"/>
          <w:lang w:val="id-ID"/>
        </w:rPr>
        <w:t>.</w:t>
      </w:r>
    </w:p>
    <w:p w:rsidR="00ED4113"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rPr>
        <w:t xml:space="preserve">Bakta, M. 2007. </w:t>
      </w:r>
      <w:r w:rsidRPr="00ED4113">
        <w:rPr>
          <w:rFonts w:ascii="Arial" w:hAnsi="Arial" w:cs="Arial"/>
          <w:i/>
          <w:sz w:val="20"/>
          <w:szCs w:val="20"/>
        </w:rPr>
        <w:t>Hematologi Klinik Ringkas</w:t>
      </w:r>
      <w:r w:rsidRPr="00ED4113">
        <w:rPr>
          <w:rFonts w:ascii="Arial" w:hAnsi="Arial" w:cs="Arial"/>
          <w:sz w:val="20"/>
          <w:szCs w:val="20"/>
        </w:rPr>
        <w:t>. Jakarta: EGC</w:t>
      </w:r>
      <w:r w:rsidRPr="00ED4113">
        <w:rPr>
          <w:rFonts w:ascii="Arial" w:hAnsi="Arial" w:cs="Arial"/>
          <w:sz w:val="20"/>
          <w:szCs w:val="20"/>
          <w:lang w:val="id-ID"/>
        </w:rPr>
        <w:t>.</w:t>
      </w:r>
    </w:p>
    <w:p w:rsidR="00ED4113"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lang w:val="id-ID"/>
        </w:rPr>
        <w:t xml:space="preserve">Nursari, D. 2010. </w:t>
      </w:r>
      <w:r w:rsidRPr="00ED4113">
        <w:rPr>
          <w:rFonts w:ascii="Arial" w:hAnsi="Arial" w:cs="Arial"/>
          <w:color w:val="000000"/>
          <w:sz w:val="20"/>
          <w:szCs w:val="20"/>
          <w:lang w:val="id-ID"/>
        </w:rPr>
        <w:t xml:space="preserve"> </w:t>
      </w:r>
      <w:r w:rsidRPr="00ED4113">
        <w:rPr>
          <w:rFonts w:ascii="Arial" w:hAnsi="Arial" w:cs="Arial"/>
          <w:bCs/>
          <w:i/>
          <w:sz w:val="20"/>
          <w:szCs w:val="20"/>
        </w:rPr>
        <w:t>Gambaran Kejadian Anemia Pada Remaja Putri Smp Negeri 18 Kota Bogor Tahun 2009</w:t>
      </w:r>
      <w:r w:rsidRPr="00ED4113">
        <w:rPr>
          <w:rFonts w:ascii="Arial" w:hAnsi="Arial" w:cs="Arial"/>
          <w:bCs/>
          <w:sz w:val="20"/>
          <w:szCs w:val="20"/>
        </w:rPr>
        <w:t>. Jakarta : Universitas Islam Negeri Syarif Hidayatullah</w:t>
      </w:r>
      <w:r w:rsidRPr="00ED4113">
        <w:rPr>
          <w:rFonts w:ascii="Arial" w:hAnsi="Arial" w:cs="Arial"/>
          <w:bCs/>
          <w:sz w:val="20"/>
          <w:szCs w:val="20"/>
          <w:lang w:val="id-ID"/>
        </w:rPr>
        <w:t>.</w:t>
      </w:r>
    </w:p>
    <w:p w:rsidR="008C667D" w:rsidRPr="00ED4113" w:rsidRDefault="008C667D" w:rsidP="00ED4113">
      <w:pPr>
        <w:pStyle w:val="ListParagraph"/>
        <w:numPr>
          <w:ilvl w:val="0"/>
          <w:numId w:val="31"/>
        </w:numPr>
        <w:spacing w:line="360" w:lineRule="auto"/>
        <w:ind w:left="284" w:hanging="284"/>
        <w:jc w:val="both"/>
        <w:rPr>
          <w:rFonts w:ascii="Arial" w:hAnsi="Arial" w:cs="Arial"/>
          <w:sz w:val="20"/>
          <w:szCs w:val="20"/>
        </w:rPr>
      </w:pPr>
      <w:r w:rsidRPr="00ED4113">
        <w:rPr>
          <w:rFonts w:ascii="Arial" w:hAnsi="Arial" w:cs="Arial"/>
          <w:sz w:val="20"/>
          <w:szCs w:val="20"/>
          <w:lang w:val="id-ID"/>
        </w:rPr>
        <w:t xml:space="preserve">Arisman. 2004. </w:t>
      </w:r>
      <w:r w:rsidRPr="00ED4113">
        <w:rPr>
          <w:rFonts w:ascii="Arial" w:hAnsi="Arial" w:cs="Arial"/>
          <w:i/>
          <w:sz w:val="20"/>
          <w:szCs w:val="20"/>
          <w:lang w:val="id-ID"/>
        </w:rPr>
        <w:t>Gizi Dalam Daur Kehidupan</w:t>
      </w:r>
      <w:r w:rsidRPr="00ED4113">
        <w:rPr>
          <w:rFonts w:ascii="Arial" w:hAnsi="Arial" w:cs="Arial"/>
          <w:sz w:val="20"/>
          <w:szCs w:val="20"/>
          <w:lang w:val="id-ID"/>
        </w:rPr>
        <w:t>. Jakarta: EGC.</w:t>
      </w:r>
    </w:p>
    <w:p w:rsidR="00ED4113" w:rsidRPr="00ED4113" w:rsidRDefault="008C667D" w:rsidP="00ED4113">
      <w:pPr>
        <w:pStyle w:val="NoSpacing"/>
        <w:numPr>
          <w:ilvl w:val="0"/>
          <w:numId w:val="31"/>
        </w:numPr>
        <w:spacing w:line="360" w:lineRule="auto"/>
        <w:ind w:left="360"/>
        <w:rPr>
          <w:rFonts w:ascii="Arial" w:hAnsi="Arial" w:cs="Arial"/>
          <w:sz w:val="20"/>
          <w:szCs w:val="20"/>
        </w:rPr>
      </w:pPr>
      <w:r w:rsidRPr="00ED4113">
        <w:rPr>
          <w:rFonts w:ascii="Arial" w:hAnsi="Arial" w:cs="Arial"/>
          <w:sz w:val="20"/>
          <w:szCs w:val="20"/>
        </w:rPr>
        <w:lastRenderedPageBreak/>
        <w:t>Panigrahi, A. &amp; Sahoo, P.B., 2011.</w:t>
      </w:r>
      <w:r w:rsidRPr="00ED4113">
        <w:rPr>
          <w:rFonts w:ascii="Arial" w:hAnsi="Arial" w:cs="Arial"/>
          <w:sz w:val="20"/>
          <w:szCs w:val="20"/>
          <w:lang w:val="id-ID"/>
        </w:rPr>
        <w:t xml:space="preserve"> </w:t>
      </w:r>
      <w:r w:rsidRPr="00ED4113">
        <w:rPr>
          <w:rFonts w:ascii="Arial" w:hAnsi="Arial" w:cs="Arial"/>
          <w:sz w:val="20"/>
          <w:szCs w:val="20"/>
        </w:rPr>
        <w:t>Nutritional anemia and its epidemiological correlates among women of reproductive age in an urban slum of Bhubaneswar, Orissa.</w:t>
      </w:r>
      <w:r w:rsidRPr="00ED4113">
        <w:rPr>
          <w:rFonts w:ascii="Arial" w:hAnsi="Arial" w:cs="Arial"/>
          <w:sz w:val="20"/>
          <w:szCs w:val="20"/>
          <w:lang w:val="id-ID"/>
        </w:rPr>
        <w:t xml:space="preserve"> </w:t>
      </w:r>
      <w:r w:rsidRPr="00ED4113">
        <w:rPr>
          <w:rFonts w:ascii="Arial" w:hAnsi="Arial" w:cs="Arial"/>
          <w:i/>
          <w:iCs/>
          <w:sz w:val="20"/>
          <w:szCs w:val="20"/>
        </w:rPr>
        <w:t>Indian journal of public health</w:t>
      </w:r>
      <w:r w:rsidRPr="00ED4113">
        <w:rPr>
          <w:rFonts w:ascii="Arial" w:hAnsi="Arial" w:cs="Arial"/>
          <w:sz w:val="20"/>
          <w:szCs w:val="20"/>
        </w:rPr>
        <w:t xml:space="preserve">, 55(4), pp.317–20. </w:t>
      </w:r>
      <w:r w:rsidRPr="00ED4113">
        <w:rPr>
          <w:rFonts w:ascii="Arial" w:hAnsi="Arial" w:cs="Arial"/>
          <w:color w:val="000000" w:themeColor="text1"/>
          <w:sz w:val="20"/>
          <w:szCs w:val="20"/>
        </w:rPr>
        <w:t>Available at :</w:t>
      </w:r>
      <w:hyperlink r:id="rId13" w:history="1">
        <w:r w:rsidRPr="00ED4113">
          <w:rPr>
            <w:rStyle w:val="Hyperlink"/>
            <w:rFonts w:ascii="Arial" w:hAnsi="Arial" w:cs="Arial"/>
            <w:color w:val="000000" w:themeColor="text1"/>
            <w:sz w:val="20"/>
            <w:szCs w:val="20"/>
          </w:rPr>
          <w:t>http://www.ncbi.nlm.nih.gov/pubmed/22298143</w:t>
        </w:r>
      </w:hyperlink>
      <w:r w:rsidRPr="00ED4113">
        <w:rPr>
          <w:rFonts w:ascii="Arial" w:hAnsi="Arial" w:cs="Arial"/>
          <w:color w:val="000000" w:themeColor="text1"/>
          <w:sz w:val="20"/>
          <w:szCs w:val="20"/>
        </w:rPr>
        <w:t xml:space="preserve"> [Accessed </w:t>
      </w:r>
      <w:r w:rsidRPr="00ED4113">
        <w:rPr>
          <w:rFonts w:ascii="Arial" w:hAnsi="Arial" w:cs="Arial"/>
          <w:sz w:val="20"/>
          <w:szCs w:val="20"/>
        </w:rPr>
        <w:t>January 28, 2014]</w:t>
      </w:r>
      <w:r w:rsidRPr="00ED4113">
        <w:rPr>
          <w:rFonts w:ascii="Arial" w:hAnsi="Arial" w:cs="Arial"/>
          <w:sz w:val="20"/>
          <w:szCs w:val="20"/>
          <w:lang w:val="id-ID"/>
        </w:rPr>
        <w:t>.</w:t>
      </w:r>
    </w:p>
    <w:p w:rsidR="001B2F31" w:rsidRPr="00ED4113" w:rsidRDefault="008C667D" w:rsidP="00ED4113">
      <w:pPr>
        <w:pStyle w:val="NoSpacing"/>
        <w:numPr>
          <w:ilvl w:val="0"/>
          <w:numId w:val="31"/>
        </w:numPr>
        <w:spacing w:line="360" w:lineRule="auto"/>
        <w:ind w:left="360"/>
        <w:rPr>
          <w:rFonts w:ascii="Arial" w:hAnsi="Arial" w:cs="Arial"/>
          <w:sz w:val="20"/>
          <w:szCs w:val="20"/>
        </w:rPr>
      </w:pPr>
      <w:r w:rsidRPr="00ED4113">
        <w:rPr>
          <w:rFonts w:ascii="Arial" w:hAnsi="Arial" w:cs="Arial"/>
          <w:color w:val="000000"/>
          <w:sz w:val="20"/>
          <w:szCs w:val="20"/>
        </w:rPr>
        <w:t xml:space="preserve">Wijaya, Y. 2007. </w:t>
      </w:r>
      <w:r w:rsidRPr="00ED4113">
        <w:rPr>
          <w:rFonts w:ascii="Arial" w:hAnsi="Arial" w:cs="Arial"/>
          <w:i/>
          <w:color w:val="000000"/>
          <w:sz w:val="20"/>
          <w:szCs w:val="20"/>
        </w:rPr>
        <w:t>Anemia Defisiensi Zat Besi</w:t>
      </w:r>
      <w:r w:rsidRPr="00ED4113">
        <w:rPr>
          <w:rFonts w:ascii="Arial" w:hAnsi="Arial" w:cs="Arial"/>
          <w:color w:val="000000"/>
          <w:sz w:val="20"/>
          <w:szCs w:val="20"/>
        </w:rPr>
        <w:t>. Surabaya: Universitas Wijaya Kusuma</w:t>
      </w:r>
      <w:r w:rsidRPr="00ED4113">
        <w:rPr>
          <w:rFonts w:ascii="Arial" w:hAnsi="Arial" w:cs="Arial"/>
          <w:color w:val="000000"/>
          <w:sz w:val="20"/>
          <w:szCs w:val="20"/>
          <w:lang w:val="id-ID"/>
        </w:rPr>
        <w:t>.</w:t>
      </w:r>
      <w:r w:rsidRPr="00ED4113">
        <w:rPr>
          <w:rFonts w:ascii="Arial" w:hAnsi="Arial" w:cs="Arial"/>
          <w:sz w:val="20"/>
          <w:szCs w:val="20"/>
          <w:lang w:val="id-ID"/>
        </w:rPr>
        <w:t xml:space="preserve"> </w:t>
      </w:r>
    </w:p>
    <w:sectPr w:rsidR="001B2F31" w:rsidRPr="00ED4113" w:rsidSect="006B5E0A">
      <w:type w:val="continuous"/>
      <w:pgSz w:w="11907" w:h="16839" w:code="9"/>
      <w:pgMar w:top="2275" w:right="1699" w:bottom="1699" w:left="2275"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8A" w:rsidRDefault="00BB528A" w:rsidP="00B44435">
      <w:r>
        <w:separator/>
      </w:r>
    </w:p>
  </w:endnote>
  <w:endnote w:type="continuationSeparator" w:id="1">
    <w:p w:rsidR="00BB528A" w:rsidRDefault="00BB528A" w:rsidP="00B44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D" w:rsidRPr="00E31230" w:rsidRDefault="002258CD" w:rsidP="00B4443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8A" w:rsidRDefault="00BB528A" w:rsidP="00B44435">
      <w:r>
        <w:separator/>
      </w:r>
    </w:p>
  </w:footnote>
  <w:footnote w:type="continuationSeparator" w:id="1">
    <w:p w:rsidR="00BB528A" w:rsidRDefault="00BB528A" w:rsidP="00B44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01" w:rsidRDefault="00360801">
    <w:pPr>
      <w:pStyle w:val="Header"/>
      <w:jc w:val="right"/>
    </w:pPr>
  </w:p>
  <w:p w:rsidR="00E31230" w:rsidRDefault="00E31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0D2F"/>
    <w:multiLevelType w:val="hybridMultilevel"/>
    <w:tmpl w:val="F3A8F3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D2503D"/>
    <w:multiLevelType w:val="hybridMultilevel"/>
    <w:tmpl w:val="EE78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685E"/>
    <w:multiLevelType w:val="hybridMultilevel"/>
    <w:tmpl w:val="3DB6C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20108"/>
    <w:multiLevelType w:val="hybridMultilevel"/>
    <w:tmpl w:val="92CA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B5346"/>
    <w:multiLevelType w:val="multilevel"/>
    <w:tmpl w:val="4358E3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BD644A"/>
    <w:multiLevelType w:val="hybridMultilevel"/>
    <w:tmpl w:val="6E5AD2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DD734DC"/>
    <w:multiLevelType w:val="hybridMultilevel"/>
    <w:tmpl w:val="3C74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371B1"/>
    <w:multiLevelType w:val="hybridMultilevel"/>
    <w:tmpl w:val="B2E0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933B4"/>
    <w:multiLevelType w:val="hybridMultilevel"/>
    <w:tmpl w:val="77B84F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43031F4"/>
    <w:multiLevelType w:val="hybridMultilevel"/>
    <w:tmpl w:val="59E2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F57D9"/>
    <w:multiLevelType w:val="hybridMultilevel"/>
    <w:tmpl w:val="BA4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60918"/>
    <w:multiLevelType w:val="hybridMultilevel"/>
    <w:tmpl w:val="16283C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7B22E35"/>
    <w:multiLevelType w:val="hybridMultilevel"/>
    <w:tmpl w:val="DBF83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353E2"/>
    <w:multiLevelType w:val="hybridMultilevel"/>
    <w:tmpl w:val="8D4E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E223E"/>
    <w:multiLevelType w:val="hybridMultilevel"/>
    <w:tmpl w:val="D6D8C4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1DD94F88"/>
    <w:multiLevelType w:val="hybridMultilevel"/>
    <w:tmpl w:val="AF8C1E30"/>
    <w:lvl w:ilvl="0" w:tplc="BDCA8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D666A8"/>
    <w:multiLevelType w:val="hybridMultilevel"/>
    <w:tmpl w:val="01D488B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00963"/>
    <w:multiLevelType w:val="hybridMultilevel"/>
    <w:tmpl w:val="89225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337F2"/>
    <w:multiLevelType w:val="hybridMultilevel"/>
    <w:tmpl w:val="974E1746"/>
    <w:lvl w:ilvl="0" w:tplc="73BA2F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2A41E2"/>
    <w:multiLevelType w:val="hybridMultilevel"/>
    <w:tmpl w:val="72AA769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0333C1"/>
    <w:multiLevelType w:val="hybridMultilevel"/>
    <w:tmpl w:val="67629702"/>
    <w:lvl w:ilvl="0" w:tplc="D6D07F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BA3237"/>
    <w:multiLevelType w:val="hybridMultilevel"/>
    <w:tmpl w:val="0DF4BC56"/>
    <w:lvl w:ilvl="0" w:tplc="0409000F">
      <w:start w:val="1"/>
      <w:numFmt w:val="decimal"/>
      <w:lvlText w:val="%1."/>
      <w:lvlJc w:val="left"/>
      <w:pPr>
        <w:ind w:left="1004" w:hanging="360"/>
      </w:pPr>
    </w:lvl>
    <w:lvl w:ilvl="1" w:tplc="9F4466B8">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FEB4A7D"/>
    <w:multiLevelType w:val="hybridMultilevel"/>
    <w:tmpl w:val="BC5816E8"/>
    <w:lvl w:ilvl="0" w:tplc="45566A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0274C2"/>
    <w:multiLevelType w:val="hybridMultilevel"/>
    <w:tmpl w:val="2C2863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D7245BE"/>
    <w:multiLevelType w:val="hybridMultilevel"/>
    <w:tmpl w:val="7D165D28"/>
    <w:lvl w:ilvl="0" w:tplc="73BA2F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312124"/>
    <w:multiLevelType w:val="hybridMultilevel"/>
    <w:tmpl w:val="C6FEB0BE"/>
    <w:lvl w:ilvl="0" w:tplc="E82EF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F080A"/>
    <w:multiLevelType w:val="multilevel"/>
    <w:tmpl w:val="81DC56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762C41"/>
    <w:multiLevelType w:val="hybridMultilevel"/>
    <w:tmpl w:val="DD0C9762"/>
    <w:lvl w:ilvl="0" w:tplc="B916296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A7C6038"/>
    <w:multiLevelType w:val="hybridMultilevel"/>
    <w:tmpl w:val="32E00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35B33"/>
    <w:multiLevelType w:val="hybridMultilevel"/>
    <w:tmpl w:val="A972E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E17ED1"/>
    <w:multiLevelType w:val="hybridMultilevel"/>
    <w:tmpl w:val="877E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6013F"/>
    <w:multiLevelType w:val="hybridMultilevel"/>
    <w:tmpl w:val="D4E0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B61C5"/>
    <w:multiLevelType w:val="hybridMultilevel"/>
    <w:tmpl w:val="7F0C8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BE18ED"/>
    <w:multiLevelType w:val="hybridMultilevel"/>
    <w:tmpl w:val="FD484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A3BFF"/>
    <w:multiLevelType w:val="hybridMultilevel"/>
    <w:tmpl w:val="CA0CC3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AA4330A"/>
    <w:multiLevelType w:val="hybridMultilevel"/>
    <w:tmpl w:val="7FE87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1001EE"/>
    <w:multiLevelType w:val="multilevel"/>
    <w:tmpl w:val="D5D27A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18"/>
  </w:num>
  <w:num w:numId="3">
    <w:abstractNumId w:val="34"/>
  </w:num>
  <w:num w:numId="4">
    <w:abstractNumId w:val="3"/>
  </w:num>
  <w:num w:numId="5">
    <w:abstractNumId w:val="0"/>
  </w:num>
  <w:num w:numId="6">
    <w:abstractNumId w:val="29"/>
  </w:num>
  <w:num w:numId="7">
    <w:abstractNumId w:val="4"/>
  </w:num>
  <w:num w:numId="8">
    <w:abstractNumId w:val="11"/>
  </w:num>
  <w:num w:numId="9">
    <w:abstractNumId w:val="32"/>
  </w:num>
  <w:num w:numId="10">
    <w:abstractNumId w:val="2"/>
  </w:num>
  <w:num w:numId="11">
    <w:abstractNumId w:val="14"/>
  </w:num>
  <w:num w:numId="12">
    <w:abstractNumId w:val="7"/>
  </w:num>
  <w:num w:numId="13">
    <w:abstractNumId w:val="13"/>
  </w:num>
  <w:num w:numId="14">
    <w:abstractNumId w:val="23"/>
  </w:num>
  <w:num w:numId="15">
    <w:abstractNumId w:val="16"/>
  </w:num>
  <w:num w:numId="16">
    <w:abstractNumId w:val="22"/>
  </w:num>
  <w:num w:numId="17">
    <w:abstractNumId w:val="17"/>
  </w:num>
  <w:num w:numId="18">
    <w:abstractNumId w:val="37"/>
  </w:num>
  <w:num w:numId="19">
    <w:abstractNumId w:val="28"/>
  </w:num>
  <w:num w:numId="20">
    <w:abstractNumId w:val="20"/>
  </w:num>
  <w:num w:numId="21">
    <w:abstractNumId w:val="12"/>
  </w:num>
  <w:num w:numId="22">
    <w:abstractNumId w:val="9"/>
  </w:num>
  <w:num w:numId="23">
    <w:abstractNumId w:val="24"/>
  </w:num>
  <w:num w:numId="24">
    <w:abstractNumId w:val="6"/>
  </w:num>
  <w:num w:numId="25">
    <w:abstractNumId w:val="15"/>
  </w:num>
  <w:num w:numId="26">
    <w:abstractNumId w:val="35"/>
  </w:num>
  <w:num w:numId="27">
    <w:abstractNumId w:val="1"/>
  </w:num>
  <w:num w:numId="28">
    <w:abstractNumId w:val="26"/>
  </w:num>
  <w:num w:numId="29">
    <w:abstractNumId w:val="36"/>
  </w:num>
  <w:num w:numId="30">
    <w:abstractNumId w:val="10"/>
  </w:num>
  <w:num w:numId="31">
    <w:abstractNumId w:val="8"/>
  </w:num>
  <w:num w:numId="32">
    <w:abstractNumId w:val="31"/>
  </w:num>
  <w:num w:numId="33">
    <w:abstractNumId w:val="33"/>
  </w:num>
  <w:num w:numId="34">
    <w:abstractNumId w:val="30"/>
  </w:num>
  <w:num w:numId="35">
    <w:abstractNumId w:val="27"/>
  </w:num>
  <w:num w:numId="36">
    <w:abstractNumId w:val="21"/>
  </w:num>
  <w:num w:numId="37">
    <w:abstractNumId w:val="2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81BE3"/>
    <w:rsid w:val="00003A42"/>
    <w:rsid w:val="00012429"/>
    <w:rsid w:val="00061335"/>
    <w:rsid w:val="0006722A"/>
    <w:rsid w:val="00067CE1"/>
    <w:rsid w:val="000844AD"/>
    <w:rsid w:val="0009296B"/>
    <w:rsid w:val="000A04AB"/>
    <w:rsid w:val="000B14B1"/>
    <w:rsid w:val="000D20CE"/>
    <w:rsid w:val="000D2463"/>
    <w:rsid w:val="00123B30"/>
    <w:rsid w:val="001342FD"/>
    <w:rsid w:val="00146CF9"/>
    <w:rsid w:val="00151DDA"/>
    <w:rsid w:val="00161B7E"/>
    <w:rsid w:val="00180BE3"/>
    <w:rsid w:val="0018273B"/>
    <w:rsid w:val="0019442B"/>
    <w:rsid w:val="00196426"/>
    <w:rsid w:val="001B2F31"/>
    <w:rsid w:val="001C13FC"/>
    <w:rsid w:val="001C7F08"/>
    <w:rsid w:val="001D1392"/>
    <w:rsid w:val="001D1521"/>
    <w:rsid w:val="001E2087"/>
    <w:rsid w:val="00202CF8"/>
    <w:rsid w:val="002258CD"/>
    <w:rsid w:val="00250A5F"/>
    <w:rsid w:val="0025344A"/>
    <w:rsid w:val="00254460"/>
    <w:rsid w:val="002578B9"/>
    <w:rsid w:val="00281BE3"/>
    <w:rsid w:val="00281F52"/>
    <w:rsid w:val="00282E76"/>
    <w:rsid w:val="002A630B"/>
    <w:rsid w:val="002B3161"/>
    <w:rsid w:val="002D1A8A"/>
    <w:rsid w:val="002E4F27"/>
    <w:rsid w:val="002F6DB6"/>
    <w:rsid w:val="002F7477"/>
    <w:rsid w:val="00306D17"/>
    <w:rsid w:val="0030769C"/>
    <w:rsid w:val="00307ECB"/>
    <w:rsid w:val="0031359E"/>
    <w:rsid w:val="00360801"/>
    <w:rsid w:val="00360B78"/>
    <w:rsid w:val="00365DA3"/>
    <w:rsid w:val="00380862"/>
    <w:rsid w:val="003A7926"/>
    <w:rsid w:val="003B158C"/>
    <w:rsid w:val="003D6622"/>
    <w:rsid w:val="003D6F54"/>
    <w:rsid w:val="003E7061"/>
    <w:rsid w:val="004071FE"/>
    <w:rsid w:val="0042326C"/>
    <w:rsid w:val="004278C7"/>
    <w:rsid w:val="00445144"/>
    <w:rsid w:val="004C252A"/>
    <w:rsid w:val="004D0EC9"/>
    <w:rsid w:val="00512BA1"/>
    <w:rsid w:val="00513C04"/>
    <w:rsid w:val="00565455"/>
    <w:rsid w:val="00587721"/>
    <w:rsid w:val="005B51E1"/>
    <w:rsid w:val="005C78E2"/>
    <w:rsid w:val="005D15C8"/>
    <w:rsid w:val="006447EA"/>
    <w:rsid w:val="006837ED"/>
    <w:rsid w:val="00685A8E"/>
    <w:rsid w:val="006943D8"/>
    <w:rsid w:val="006B3C49"/>
    <w:rsid w:val="006B5E0A"/>
    <w:rsid w:val="006C0206"/>
    <w:rsid w:val="006D5D6C"/>
    <w:rsid w:val="006F1843"/>
    <w:rsid w:val="006F5A26"/>
    <w:rsid w:val="00737856"/>
    <w:rsid w:val="00746A04"/>
    <w:rsid w:val="00764CAE"/>
    <w:rsid w:val="0076565A"/>
    <w:rsid w:val="00791FCB"/>
    <w:rsid w:val="007A3677"/>
    <w:rsid w:val="007B11D7"/>
    <w:rsid w:val="007C54D7"/>
    <w:rsid w:val="007D2CFD"/>
    <w:rsid w:val="007F16D4"/>
    <w:rsid w:val="008115DA"/>
    <w:rsid w:val="00814272"/>
    <w:rsid w:val="00821B4B"/>
    <w:rsid w:val="008264B0"/>
    <w:rsid w:val="008273E7"/>
    <w:rsid w:val="008433DE"/>
    <w:rsid w:val="0085224C"/>
    <w:rsid w:val="0085585E"/>
    <w:rsid w:val="00865A5A"/>
    <w:rsid w:val="0089464A"/>
    <w:rsid w:val="008A6FD5"/>
    <w:rsid w:val="008C3A54"/>
    <w:rsid w:val="008C667D"/>
    <w:rsid w:val="008D3CB5"/>
    <w:rsid w:val="008D48E7"/>
    <w:rsid w:val="009054F6"/>
    <w:rsid w:val="009102D7"/>
    <w:rsid w:val="00912D61"/>
    <w:rsid w:val="00922D70"/>
    <w:rsid w:val="0093497D"/>
    <w:rsid w:val="00940E3F"/>
    <w:rsid w:val="00941AC3"/>
    <w:rsid w:val="009429E4"/>
    <w:rsid w:val="009432FF"/>
    <w:rsid w:val="00952158"/>
    <w:rsid w:val="0096539D"/>
    <w:rsid w:val="0097537F"/>
    <w:rsid w:val="00976411"/>
    <w:rsid w:val="009A0DD0"/>
    <w:rsid w:val="009A1075"/>
    <w:rsid w:val="009B000F"/>
    <w:rsid w:val="009F2437"/>
    <w:rsid w:val="009F7BF4"/>
    <w:rsid w:val="00A25A6D"/>
    <w:rsid w:val="00A32583"/>
    <w:rsid w:val="00A51275"/>
    <w:rsid w:val="00A64816"/>
    <w:rsid w:val="00A7277E"/>
    <w:rsid w:val="00A73D9B"/>
    <w:rsid w:val="00A76090"/>
    <w:rsid w:val="00A82C0A"/>
    <w:rsid w:val="00A85068"/>
    <w:rsid w:val="00A85F36"/>
    <w:rsid w:val="00A9231C"/>
    <w:rsid w:val="00A940D7"/>
    <w:rsid w:val="00A9662E"/>
    <w:rsid w:val="00AA5A96"/>
    <w:rsid w:val="00AA72C7"/>
    <w:rsid w:val="00AD05F4"/>
    <w:rsid w:val="00AD2508"/>
    <w:rsid w:val="00AE0E1E"/>
    <w:rsid w:val="00AF02F7"/>
    <w:rsid w:val="00AF560E"/>
    <w:rsid w:val="00B32FFF"/>
    <w:rsid w:val="00B44435"/>
    <w:rsid w:val="00B57BD2"/>
    <w:rsid w:val="00B711BB"/>
    <w:rsid w:val="00B75AE3"/>
    <w:rsid w:val="00B76425"/>
    <w:rsid w:val="00B8423E"/>
    <w:rsid w:val="00B93132"/>
    <w:rsid w:val="00BA0D39"/>
    <w:rsid w:val="00BA3329"/>
    <w:rsid w:val="00BB06FD"/>
    <w:rsid w:val="00BB13EA"/>
    <w:rsid w:val="00BB340D"/>
    <w:rsid w:val="00BB528A"/>
    <w:rsid w:val="00BC7782"/>
    <w:rsid w:val="00BD5E65"/>
    <w:rsid w:val="00BE176D"/>
    <w:rsid w:val="00C02A1C"/>
    <w:rsid w:val="00C33813"/>
    <w:rsid w:val="00C40500"/>
    <w:rsid w:val="00C5330B"/>
    <w:rsid w:val="00C6439F"/>
    <w:rsid w:val="00C70966"/>
    <w:rsid w:val="00C738C3"/>
    <w:rsid w:val="00C73FC7"/>
    <w:rsid w:val="00C75D3A"/>
    <w:rsid w:val="00C76EB2"/>
    <w:rsid w:val="00C91863"/>
    <w:rsid w:val="00C9229C"/>
    <w:rsid w:val="00C931E6"/>
    <w:rsid w:val="00CC72DF"/>
    <w:rsid w:val="00CE6801"/>
    <w:rsid w:val="00CF7A1D"/>
    <w:rsid w:val="00CF7EDF"/>
    <w:rsid w:val="00D07F86"/>
    <w:rsid w:val="00D153CD"/>
    <w:rsid w:val="00D15ED2"/>
    <w:rsid w:val="00D17604"/>
    <w:rsid w:val="00D5070F"/>
    <w:rsid w:val="00D516EA"/>
    <w:rsid w:val="00D9504E"/>
    <w:rsid w:val="00DA2F04"/>
    <w:rsid w:val="00DA7A3F"/>
    <w:rsid w:val="00DB6936"/>
    <w:rsid w:val="00DE6386"/>
    <w:rsid w:val="00DE7BC3"/>
    <w:rsid w:val="00E2168D"/>
    <w:rsid w:val="00E31230"/>
    <w:rsid w:val="00E35D2B"/>
    <w:rsid w:val="00E46EBA"/>
    <w:rsid w:val="00E7309D"/>
    <w:rsid w:val="00E7623E"/>
    <w:rsid w:val="00E879BD"/>
    <w:rsid w:val="00ED4113"/>
    <w:rsid w:val="00ED4877"/>
    <w:rsid w:val="00EE0D51"/>
    <w:rsid w:val="00EE4E53"/>
    <w:rsid w:val="00EF0694"/>
    <w:rsid w:val="00F01623"/>
    <w:rsid w:val="00F05E56"/>
    <w:rsid w:val="00F559A8"/>
    <w:rsid w:val="00F873EB"/>
    <w:rsid w:val="00FB18B0"/>
    <w:rsid w:val="00FC3992"/>
    <w:rsid w:val="00FD2D43"/>
    <w:rsid w:val="00FE4AA3"/>
    <w:rsid w:val="00FE6B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 w:type="character" w:customStyle="1" w:styleId="profbotnametitle">
    <w:name w:val="profbotnametitle"/>
    <w:basedOn w:val="DefaultParagraphFont"/>
    <w:rsid w:val="009102D7"/>
  </w:style>
  <w:style w:type="character" w:customStyle="1" w:styleId="hps">
    <w:name w:val="hps"/>
    <w:basedOn w:val="DefaultParagraphFont"/>
    <w:rsid w:val="009102D7"/>
  </w:style>
  <w:style w:type="character" w:customStyle="1" w:styleId="apple-converted-space">
    <w:name w:val="apple-converted-space"/>
    <w:basedOn w:val="DefaultParagraphFont"/>
    <w:rsid w:val="009102D7"/>
  </w:style>
  <w:style w:type="character" w:customStyle="1" w:styleId="addmd">
    <w:name w:val="addmd"/>
    <w:basedOn w:val="DefaultParagraphFont"/>
    <w:rsid w:val="00746A04"/>
  </w:style>
  <w:style w:type="paragraph" w:styleId="NoSpacing">
    <w:name w:val="No Spacing"/>
    <w:uiPriority w:val="1"/>
    <w:qFormat/>
    <w:rsid w:val="00940E3F"/>
    <w:pPr>
      <w:spacing w:after="0" w:line="240" w:lineRule="auto"/>
      <w:ind w:left="432"/>
      <w:jc w:val="both"/>
    </w:pPr>
  </w:style>
  <w:style w:type="character" w:customStyle="1" w:styleId="st">
    <w:name w:val="st"/>
    <w:basedOn w:val="DefaultParagraphFont"/>
    <w:rsid w:val="009A0DD0"/>
  </w:style>
  <w:style w:type="character" w:styleId="Emphasis">
    <w:name w:val="Emphasis"/>
    <w:uiPriority w:val="20"/>
    <w:qFormat/>
    <w:rsid w:val="00A9231C"/>
    <w:rPr>
      <w:i/>
      <w:iCs/>
    </w:rPr>
  </w:style>
  <w:style w:type="paragraph" w:customStyle="1" w:styleId="1tabel">
    <w:name w:val="1 tabel"/>
    <w:basedOn w:val="Normal"/>
    <w:qFormat/>
    <w:rsid w:val="007F16D4"/>
    <w:pPr>
      <w:jc w:val="both"/>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222981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kes.go.id/download/publikasi/%20glosarium2006.pdf" TargetMode="Externa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unsrat.ac.id/258/1/%20Hubungan_Anemia_Defisiensi_Besi_deng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2D9C-3B1B-4899-9BC5-B0D8FFE3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Shaktisila</dc:creator>
  <cp:lastModifiedBy>TOSHIBA</cp:lastModifiedBy>
  <cp:revision>122</cp:revision>
  <cp:lastPrinted>2014-02-26T02:28:00Z</cp:lastPrinted>
  <dcterms:created xsi:type="dcterms:W3CDTF">2013-08-20T16:54:00Z</dcterms:created>
  <dcterms:modified xsi:type="dcterms:W3CDTF">2014-03-01T14:48:00Z</dcterms:modified>
</cp:coreProperties>
</file>