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7C" w:rsidRDefault="00C3527C" w:rsidP="00C3527C">
      <w:pPr>
        <w:spacing w:line="240" w:lineRule="auto"/>
        <w:jc w:val="center"/>
        <w:rPr>
          <w:rFonts w:ascii="Arial" w:hAnsi="Arial" w:cs="Arial"/>
          <w:b/>
          <w:sz w:val="20"/>
          <w:szCs w:val="20"/>
        </w:rPr>
      </w:pPr>
      <w:r w:rsidRPr="00C3527C">
        <w:rPr>
          <w:rFonts w:ascii="Arial" w:hAnsi="Arial" w:cs="Arial"/>
          <w:b/>
          <w:bCs/>
          <w:sz w:val="20"/>
          <w:szCs w:val="20"/>
          <w:lang w:val="sv-SE"/>
        </w:rPr>
        <w:t>HUBUNGAN PROTEINURIA DENGAN MEROKOK PADA MAHASISWA PRIA DENGAN PREHIPERTENSI DAN HIPERTENSI DI UNIVERSITAS MATARAM</w:t>
      </w:r>
      <w:r w:rsidRPr="00C3527C">
        <w:rPr>
          <w:rFonts w:ascii="Arial" w:hAnsi="Arial" w:cs="Arial"/>
          <w:b/>
          <w:sz w:val="20"/>
          <w:szCs w:val="20"/>
        </w:rPr>
        <w:t xml:space="preserve"> </w:t>
      </w:r>
    </w:p>
    <w:p w:rsidR="00C3527C" w:rsidRPr="00C3527C" w:rsidRDefault="00C3527C" w:rsidP="00C3527C">
      <w:pPr>
        <w:spacing w:line="240" w:lineRule="auto"/>
        <w:jc w:val="center"/>
        <w:rPr>
          <w:rFonts w:ascii="Arial" w:hAnsi="Arial" w:cs="Arial"/>
          <w:b/>
          <w:sz w:val="20"/>
          <w:szCs w:val="20"/>
        </w:rPr>
      </w:pPr>
    </w:p>
    <w:p w:rsidR="00C3527C" w:rsidRPr="00C3527C" w:rsidRDefault="00C3527C" w:rsidP="00C3527C">
      <w:pPr>
        <w:spacing w:line="240" w:lineRule="auto"/>
        <w:jc w:val="center"/>
        <w:rPr>
          <w:rFonts w:ascii="Arial" w:hAnsi="Arial" w:cs="Arial"/>
          <w:b/>
          <w:sz w:val="20"/>
          <w:szCs w:val="20"/>
        </w:rPr>
      </w:pPr>
      <w:r w:rsidRPr="00C3527C">
        <w:rPr>
          <w:rFonts w:ascii="Arial" w:hAnsi="Arial" w:cs="Arial"/>
          <w:b/>
          <w:sz w:val="20"/>
          <w:szCs w:val="20"/>
        </w:rPr>
        <w:t>Yohanes Yoga Laksono, Ima Arum Lestarini,  Rina Lestari</w:t>
      </w:r>
    </w:p>
    <w:p w:rsidR="00C3527C" w:rsidRPr="00C3527C" w:rsidRDefault="00C3527C" w:rsidP="00C3527C">
      <w:pPr>
        <w:spacing w:line="240" w:lineRule="auto"/>
        <w:jc w:val="center"/>
        <w:rPr>
          <w:rFonts w:ascii="Arial" w:hAnsi="Arial" w:cs="Arial"/>
          <w:b/>
          <w:sz w:val="20"/>
          <w:szCs w:val="20"/>
        </w:rPr>
      </w:pPr>
      <w:r w:rsidRPr="00C3527C">
        <w:rPr>
          <w:rFonts w:ascii="Arial" w:hAnsi="Arial" w:cs="Arial"/>
          <w:b/>
          <w:sz w:val="20"/>
          <w:szCs w:val="20"/>
        </w:rPr>
        <w:t>Fakultas Kedokteran Universitas Mataram</w:t>
      </w:r>
    </w:p>
    <w:p w:rsidR="00C3527C" w:rsidRPr="00C3527C" w:rsidRDefault="00C3527C" w:rsidP="00C3527C">
      <w:pPr>
        <w:spacing w:line="240" w:lineRule="auto"/>
        <w:jc w:val="center"/>
        <w:rPr>
          <w:rFonts w:ascii="Arial" w:hAnsi="Arial" w:cs="Arial"/>
          <w:szCs w:val="24"/>
        </w:rPr>
      </w:pPr>
    </w:p>
    <w:p w:rsidR="00C3527C" w:rsidRPr="00C3527C" w:rsidRDefault="00C3527C" w:rsidP="00C3527C">
      <w:pPr>
        <w:spacing w:after="240" w:line="240" w:lineRule="auto"/>
        <w:jc w:val="left"/>
        <w:rPr>
          <w:rFonts w:ascii="Arial" w:hAnsi="Arial" w:cs="Arial"/>
          <w:b/>
          <w:bCs/>
          <w:i/>
          <w:sz w:val="18"/>
          <w:szCs w:val="18"/>
          <w:lang w:val="sv-SE"/>
        </w:rPr>
      </w:pPr>
      <w:r w:rsidRPr="00C3527C">
        <w:rPr>
          <w:rFonts w:ascii="Arial" w:hAnsi="Arial" w:cs="Arial"/>
          <w:b/>
          <w:bCs/>
          <w:i/>
          <w:sz w:val="18"/>
          <w:szCs w:val="18"/>
          <w:lang w:val="sv-SE"/>
        </w:rPr>
        <w:t>Abstract</w:t>
      </w:r>
    </w:p>
    <w:p w:rsidR="00C3527C" w:rsidRPr="00C3527C" w:rsidRDefault="00C3527C" w:rsidP="00C3527C">
      <w:pPr>
        <w:spacing w:line="240" w:lineRule="auto"/>
        <w:rPr>
          <w:rFonts w:ascii="Arial" w:hAnsi="Arial" w:cs="Arial"/>
          <w:bCs/>
          <w:i/>
          <w:sz w:val="18"/>
          <w:szCs w:val="18"/>
          <w:lang w:val="sv-SE"/>
        </w:rPr>
      </w:pPr>
      <w:r w:rsidRPr="00C3527C">
        <w:rPr>
          <w:rFonts w:ascii="Arial" w:hAnsi="Arial" w:cs="Arial"/>
          <w:b/>
          <w:bCs/>
          <w:i/>
          <w:sz w:val="18"/>
          <w:szCs w:val="18"/>
          <w:lang w:val="sv-SE"/>
        </w:rPr>
        <w:t>Background</w:t>
      </w:r>
      <w:r w:rsidRPr="00C3527C">
        <w:rPr>
          <w:rFonts w:ascii="Arial" w:hAnsi="Arial" w:cs="Arial"/>
          <w:bCs/>
          <w:i/>
          <w:sz w:val="18"/>
          <w:szCs w:val="18"/>
          <w:lang w:val="sv-SE"/>
        </w:rPr>
        <w:t xml:space="preserve"> : Prehypertension and hypertension are known to increase the incidence of proteinuria when compared to those with normotensive. Smoking is one of the risk factors that lead to the deterioration of renal function and proteinuria form. This study was conducted to determine the relationsh</w:t>
      </w:r>
      <w:r w:rsidR="00373451">
        <w:rPr>
          <w:rFonts w:ascii="Arial" w:hAnsi="Arial" w:cs="Arial"/>
          <w:bCs/>
          <w:i/>
          <w:sz w:val="18"/>
          <w:szCs w:val="18"/>
          <w:lang w:val="sv-SE"/>
        </w:rPr>
        <w:t>ip of proteinuria in smokers wi</w:t>
      </w:r>
      <w:r w:rsidRPr="00C3527C">
        <w:rPr>
          <w:rFonts w:ascii="Arial" w:hAnsi="Arial" w:cs="Arial"/>
          <w:bCs/>
          <w:i/>
          <w:sz w:val="18"/>
          <w:szCs w:val="18"/>
          <w:lang w:val="sv-SE"/>
        </w:rPr>
        <w:t>t</w:t>
      </w:r>
      <w:r w:rsidR="00373451">
        <w:rPr>
          <w:rFonts w:ascii="Arial" w:hAnsi="Arial" w:cs="Arial"/>
          <w:bCs/>
          <w:i/>
          <w:sz w:val="18"/>
          <w:szCs w:val="18"/>
          <w:lang w:val="sv-SE"/>
        </w:rPr>
        <w:t>h</w:t>
      </w:r>
      <w:r w:rsidRPr="00C3527C">
        <w:rPr>
          <w:rFonts w:ascii="Arial" w:hAnsi="Arial" w:cs="Arial"/>
          <w:bCs/>
          <w:i/>
          <w:sz w:val="18"/>
          <w:szCs w:val="18"/>
          <w:lang w:val="sv-SE"/>
        </w:rPr>
        <w:t xml:space="preserve"> prehypertension and hypertension circumtances.</w:t>
      </w:r>
    </w:p>
    <w:p w:rsidR="00C3527C" w:rsidRPr="00C3527C" w:rsidRDefault="00C3527C" w:rsidP="00C3527C">
      <w:pPr>
        <w:spacing w:line="240" w:lineRule="auto"/>
        <w:rPr>
          <w:rFonts w:ascii="Arial" w:hAnsi="Arial" w:cs="Arial"/>
          <w:bCs/>
          <w:i/>
          <w:sz w:val="18"/>
          <w:szCs w:val="18"/>
          <w:lang w:val="sv-SE"/>
        </w:rPr>
      </w:pPr>
      <w:r w:rsidRPr="00C3527C">
        <w:rPr>
          <w:rFonts w:ascii="Arial" w:hAnsi="Arial" w:cs="Arial"/>
          <w:b/>
          <w:bCs/>
          <w:i/>
          <w:sz w:val="18"/>
          <w:szCs w:val="18"/>
          <w:lang w:val="sv-SE"/>
        </w:rPr>
        <w:t>Methods</w:t>
      </w:r>
      <w:r w:rsidRPr="00C3527C">
        <w:rPr>
          <w:rFonts w:ascii="Arial" w:hAnsi="Arial" w:cs="Arial"/>
          <w:bCs/>
          <w:i/>
          <w:sz w:val="18"/>
          <w:szCs w:val="18"/>
          <w:lang w:val="sv-SE"/>
        </w:rPr>
        <w:t>: The study design was cross-sectional. Data was collected  by consecutive sampling.The number of samples examined as many as 94 people smokers and non smokers. Both group were assessed based on blood pressure (prehypertension and hypertension) according to JNC7. Urine sample examined with dipstick test</w:t>
      </w:r>
      <w:r w:rsidR="00512913">
        <w:rPr>
          <w:rFonts w:ascii="Arial" w:hAnsi="Arial" w:cs="Arial"/>
          <w:bCs/>
          <w:i/>
          <w:sz w:val="18"/>
          <w:szCs w:val="18"/>
          <w:lang w:val="sv-SE"/>
        </w:rPr>
        <w:t xml:space="preserve">. </w:t>
      </w:r>
      <w:r w:rsidRPr="00C3527C">
        <w:rPr>
          <w:rFonts w:ascii="Arial" w:hAnsi="Arial" w:cs="Arial"/>
          <w:bCs/>
          <w:i/>
          <w:sz w:val="18"/>
          <w:szCs w:val="18"/>
          <w:lang w:val="sv-SE"/>
        </w:rPr>
        <w:t>Statistical analysis used is a comparative analysis using chi square with Yates correction method to determine the correlation</w:t>
      </w:r>
      <w:r w:rsidR="00512913">
        <w:rPr>
          <w:rFonts w:ascii="Arial" w:hAnsi="Arial" w:cs="Arial"/>
          <w:bCs/>
          <w:i/>
          <w:sz w:val="18"/>
          <w:szCs w:val="18"/>
          <w:lang w:val="sv-SE"/>
        </w:rPr>
        <w:t xml:space="preserve"> between proteinuria and smoking on prehypertension and hypertension subjects</w:t>
      </w:r>
      <w:r w:rsidRPr="00C3527C">
        <w:rPr>
          <w:rFonts w:ascii="Arial" w:hAnsi="Arial" w:cs="Arial"/>
          <w:bCs/>
          <w:i/>
          <w:sz w:val="18"/>
          <w:szCs w:val="18"/>
          <w:lang w:val="sv-SE"/>
        </w:rPr>
        <w:t xml:space="preserve">. </w:t>
      </w:r>
    </w:p>
    <w:p w:rsidR="00291BCD" w:rsidRDefault="00C3527C" w:rsidP="00C3527C">
      <w:pPr>
        <w:spacing w:line="240" w:lineRule="auto"/>
        <w:rPr>
          <w:rFonts w:ascii="Arial" w:hAnsi="Arial" w:cs="Arial"/>
          <w:bCs/>
          <w:i/>
          <w:sz w:val="18"/>
          <w:szCs w:val="18"/>
          <w:lang w:val="sv-SE"/>
        </w:rPr>
      </w:pPr>
      <w:r w:rsidRPr="00C3527C">
        <w:rPr>
          <w:rFonts w:ascii="Arial" w:hAnsi="Arial" w:cs="Arial"/>
          <w:b/>
          <w:bCs/>
          <w:i/>
          <w:sz w:val="18"/>
          <w:szCs w:val="18"/>
          <w:lang w:val="sv-SE"/>
        </w:rPr>
        <w:t>Results</w:t>
      </w:r>
      <w:r w:rsidRPr="00C3527C">
        <w:rPr>
          <w:rFonts w:ascii="Arial" w:hAnsi="Arial" w:cs="Arial"/>
          <w:bCs/>
          <w:i/>
          <w:sz w:val="18"/>
          <w:szCs w:val="18"/>
          <w:lang w:val="sv-SE"/>
        </w:rPr>
        <w:t xml:space="preserve"> : </w:t>
      </w:r>
      <w:r w:rsidR="00121EBD">
        <w:rPr>
          <w:rFonts w:ascii="Arial" w:hAnsi="Arial" w:cs="Arial"/>
          <w:bCs/>
          <w:i/>
          <w:sz w:val="18"/>
          <w:szCs w:val="18"/>
          <w:lang w:val="sv-SE"/>
        </w:rPr>
        <w:t>There was</w:t>
      </w:r>
      <w:r w:rsidRPr="00C3527C">
        <w:rPr>
          <w:rFonts w:ascii="Arial" w:hAnsi="Arial" w:cs="Arial"/>
          <w:bCs/>
          <w:i/>
          <w:sz w:val="18"/>
          <w:szCs w:val="18"/>
          <w:lang w:val="sv-SE"/>
        </w:rPr>
        <w:t xml:space="preserve"> significant correlation between smoking and proteinuria in prehypertension and hypertension</w:t>
      </w:r>
      <w:r w:rsidR="00291BCD">
        <w:rPr>
          <w:rFonts w:ascii="Arial" w:hAnsi="Arial" w:cs="Arial"/>
          <w:bCs/>
          <w:i/>
          <w:sz w:val="18"/>
          <w:szCs w:val="18"/>
          <w:lang w:val="sv-SE"/>
        </w:rPr>
        <w:t>.</w:t>
      </w:r>
      <w:r w:rsidR="0007753A">
        <w:rPr>
          <w:rFonts w:ascii="Arial" w:hAnsi="Arial" w:cs="Arial"/>
          <w:bCs/>
          <w:i/>
          <w:sz w:val="18"/>
          <w:szCs w:val="18"/>
          <w:lang w:val="sv-SE"/>
        </w:rPr>
        <w:t xml:space="preserve"> C</w:t>
      </w:r>
      <w:r w:rsidR="00291BCD">
        <w:rPr>
          <w:rFonts w:ascii="Arial" w:hAnsi="Arial" w:cs="Arial"/>
          <w:bCs/>
          <w:i/>
          <w:sz w:val="18"/>
          <w:szCs w:val="18"/>
          <w:lang w:val="sv-SE"/>
        </w:rPr>
        <w:t xml:space="preserve">ompared with non smoker participants, the adjusted odds ratio and 95% confidene intervals (CIs) for proteinuria </w:t>
      </w:r>
      <w:r w:rsidR="00F41BDB">
        <w:rPr>
          <w:rFonts w:ascii="Arial" w:hAnsi="Arial" w:cs="Arial"/>
          <w:bCs/>
          <w:i/>
          <w:sz w:val="18"/>
          <w:szCs w:val="18"/>
          <w:lang w:val="sv-SE"/>
        </w:rPr>
        <w:t>were 2.44 (1.36-4.36, P=0.001) for those with prehypertension and 3.56 (1.05-12.07, P=0.015) with hypertension.</w:t>
      </w:r>
    </w:p>
    <w:p w:rsidR="00C3527C" w:rsidRPr="00C3527C" w:rsidRDefault="00C3527C" w:rsidP="00C3527C">
      <w:pPr>
        <w:spacing w:line="240" w:lineRule="auto"/>
        <w:rPr>
          <w:rFonts w:ascii="Arial" w:hAnsi="Arial" w:cs="Arial"/>
          <w:bCs/>
          <w:i/>
          <w:sz w:val="18"/>
          <w:szCs w:val="18"/>
          <w:lang w:val="sv-SE"/>
        </w:rPr>
      </w:pPr>
      <w:r w:rsidRPr="00C3527C">
        <w:rPr>
          <w:rFonts w:ascii="Arial" w:hAnsi="Arial" w:cs="Arial"/>
          <w:b/>
          <w:bCs/>
          <w:i/>
          <w:sz w:val="18"/>
          <w:szCs w:val="18"/>
          <w:lang w:val="sv-SE"/>
        </w:rPr>
        <w:t>Conclusion</w:t>
      </w:r>
      <w:r w:rsidRPr="00C3527C">
        <w:rPr>
          <w:rFonts w:ascii="Arial" w:hAnsi="Arial" w:cs="Arial"/>
          <w:bCs/>
          <w:i/>
          <w:sz w:val="18"/>
          <w:szCs w:val="18"/>
          <w:lang w:val="sv-SE"/>
        </w:rPr>
        <w:t xml:space="preserve"> : There is a significant correlation b</w:t>
      </w:r>
      <w:r w:rsidR="001B165B">
        <w:rPr>
          <w:rFonts w:ascii="Arial" w:hAnsi="Arial" w:cs="Arial"/>
          <w:bCs/>
          <w:i/>
          <w:sz w:val="18"/>
          <w:szCs w:val="18"/>
          <w:lang w:val="sv-SE"/>
        </w:rPr>
        <w:t>etween smoking and proteinuria o</w:t>
      </w:r>
      <w:r w:rsidRPr="00C3527C">
        <w:rPr>
          <w:rFonts w:ascii="Arial" w:hAnsi="Arial" w:cs="Arial"/>
          <w:bCs/>
          <w:i/>
          <w:sz w:val="18"/>
          <w:szCs w:val="18"/>
          <w:lang w:val="sv-SE"/>
        </w:rPr>
        <w:t>n</w:t>
      </w:r>
      <w:r w:rsidR="001B165B">
        <w:rPr>
          <w:rFonts w:ascii="Arial" w:hAnsi="Arial" w:cs="Arial"/>
          <w:bCs/>
          <w:i/>
          <w:sz w:val="18"/>
          <w:szCs w:val="18"/>
          <w:lang w:val="sv-SE"/>
        </w:rPr>
        <w:t xml:space="preserve"> male</w:t>
      </w:r>
      <w:r w:rsidRPr="00C3527C">
        <w:rPr>
          <w:rFonts w:ascii="Arial" w:hAnsi="Arial" w:cs="Arial"/>
          <w:bCs/>
          <w:i/>
          <w:sz w:val="18"/>
          <w:szCs w:val="18"/>
          <w:lang w:val="sv-SE"/>
        </w:rPr>
        <w:t xml:space="preserve"> groups </w:t>
      </w:r>
      <w:r w:rsidR="001B165B">
        <w:rPr>
          <w:rFonts w:ascii="Arial" w:hAnsi="Arial" w:cs="Arial"/>
          <w:bCs/>
          <w:i/>
          <w:sz w:val="18"/>
          <w:szCs w:val="18"/>
          <w:lang w:val="sv-SE"/>
        </w:rPr>
        <w:t xml:space="preserve">students </w:t>
      </w:r>
      <w:r w:rsidRPr="00C3527C">
        <w:rPr>
          <w:rFonts w:ascii="Arial" w:hAnsi="Arial" w:cs="Arial"/>
          <w:bCs/>
          <w:i/>
          <w:sz w:val="18"/>
          <w:szCs w:val="18"/>
          <w:lang w:val="sv-SE"/>
        </w:rPr>
        <w:t>with prehypertension and hypertension at the Mataram University.</w:t>
      </w:r>
    </w:p>
    <w:p w:rsidR="00C3527C" w:rsidRPr="00C3527C" w:rsidRDefault="00C3527C" w:rsidP="00C3527C">
      <w:pPr>
        <w:spacing w:line="240" w:lineRule="auto"/>
        <w:rPr>
          <w:rFonts w:ascii="Arial" w:hAnsi="Arial" w:cs="Arial"/>
          <w:bCs/>
          <w:i/>
          <w:sz w:val="18"/>
          <w:szCs w:val="18"/>
          <w:lang w:val="sv-SE"/>
        </w:rPr>
      </w:pPr>
      <w:r w:rsidRPr="00C3527C">
        <w:rPr>
          <w:rFonts w:ascii="Arial" w:hAnsi="Arial" w:cs="Arial"/>
          <w:b/>
          <w:bCs/>
          <w:i/>
          <w:sz w:val="18"/>
          <w:szCs w:val="18"/>
          <w:lang w:val="sv-SE"/>
        </w:rPr>
        <w:t>Keywords</w:t>
      </w:r>
      <w:r w:rsidRPr="00C3527C">
        <w:rPr>
          <w:rFonts w:ascii="Arial" w:hAnsi="Arial" w:cs="Arial"/>
          <w:bCs/>
          <w:i/>
          <w:sz w:val="18"/>
          <w:szCs w:val="18"/>
          <w:lang w:val="sv-SE"/>
        </w:rPr>
        <w:t>: cigarette smoking, proteinuria, prehypertension, hypertension</w:t>
      </w:r>
    </w:p>
    <w:p w:rsidR="00230B05" w:rsidRPr="00C3527C" w:rsidRDefault="00230B05">
      <w:pPr>
        <w:rPr>
          <w:rFonts w:ascii="Arial" w:hAnsi="Arial" w:cs="Arial"/>
          <w:sz w:val="18"/>
          <w:szCs w:val="18"/>
        </w:rPr>
      </w:pPr>
    </w:p>
    <w:p w:rsidR="00C3527C" w:rsidRPr="00C3527C" w:rsidRDefault="00C3527C" w:rsidP="00C3527C">
      <w:pPr>
        <w:spacing w:line="240" w:lineRule="auto"/>
        <w:jc w:val="left"/>
        <w:rPr>
          <w:rFonts w:ascii="Arial" w:hAnsi="Arial" w:cs="Arial"/>
          <w:b/>
          <w:sz w:val="18"/>
          <w:szCs w:val="18"/>
        </w:rPr>
      </w:pPr>
      <w:r w:rsidRPr="00C3527C">
        <w:rPr>
          <w:rFonts w:ascii="Arial" w:hAnsi="Arial" w:cs="Arial"/>
          <w:b/>
          <w:sz w:val="18"/>
          <w:szCs w:val="18"/>
        </w:rPr>
        <w:t>Abstrak</w:t>
      </w:r>
    </w:p>
    <w:p w:rsidR="00C3527C" w:rsidRPr="00C3527C" w:rsidRDefault="00C3527C" w:rsidP="00C3527C">
      <w:pPr>
        <w:spacing w:line="240" w:lineRule="auto"/>
        <w:rPr>
          <w:rFonts w:ascii="Arial" w:hAnsi="Arial" w:cs="Arial"/>
          <w:sz w:val="18"/>
          <w:szCs w:val="18"/>
        </w:rPr>
      </w:pPr>
      <w:r w:rsidRPr="00C3527C">
        <w:rPr>
          <w:rFonts w:ascii="Arial" w:hAnsi="Arial" w:cs="Arial"/>
          <w:b/>
          <w:sz w:val="18"/>
          <w:szCs w:val="18"/>
        </w:rPr>
        <w:t>Latar Belakang</w:t>
      </w:r>
      <w:r w:rsidRPr="00C3527C">
        <w:rPr>
          <w:rFonts w:ascii="Arial" w:hAnsi="Arial" w:cs="Arial"/>
          <w:sz w:val="18"/>
          <w:szCs w:val="18"/>
        </w:rPr>
        <w:t xml:space="preserve"> : Prehipertensi dan hipertensi diketahui meningkatkan kejadian protei</w:t>
      </w:r>
      <w:r w:rsidR="00354E20">
        <w:rPr>
          <w:rFonts w:ascii="Arial" w:hAnsi="Arial" w:cs="Arial"/>
          <w:sz w:val="18"/>
          <w:szCs w:val="18"/>
        </w:rPr>
        <w:t>n</w:t>
      </w:r>
      <w:r w:rsidRPr="00C3527C">
        <w:rPr>
          <w:rFonts w:ascii="Arial" w:hAnsi="Arial" w:cs="Arial"/>
          <w:sz w:val="18"/>
          <w:szCs w:val="18"/>
        </w:rPr>
        <w:t>uria bila dibandingkan dengan orang dengan normotensi. Kebiasaan merokok merupakan salah satu faktor risiko yang menyebabkan memburuknya fungsi ginjal dan membentuk proteinuria. Penelitian ini dilakukan untuk mengetahui hubungan proteinuria pada perokok dengan keadaan prehipertensi dan hipertensi.</w:t>
      </w:r>
    </w:p>
    <w:p w:rsidR="00C3527C" w:rsidRPr="00C3527C" w:rsidRDefault="00C3527C" w:rsidP="00C3527C">
      <w:pPr>
        <w:spacing w:line="240" w:lineRule="auto"/>
        <w:rPr>
          <w:rFonts w:ascii="Arial" w:hAnsi="Arial" w:cs="Arial"/>
          <w:bCs/>
          <w:sz w:val="18"/>
          <w:szCs w:val="18"/>
          <w:lang w:val="sv-SE"/>
        </w:rPr>
      </w:pPr>
      <w:r w:rsidRPr="00C3527C">
        <w:rPr>
          <w:rFonts w:ascii="Arial" w:hAnsi="Arial" w:cs="Arial"/>
          <w:b/>
          <w:bCs/>
          <w:sz w:val="18"/>
          <w:szCs w:val="18"/>
          <w:lang w:val="sv-SE"/>
        </w:rPr>
        <w:t>Metode :</w:t>
      </w:r>
      <w:r w:rsidRPr="00C3527C">
        <w:rPr>
          <w:rFonts w:ascii="Arial" w:hAnsi="Arial" w:cs="Arial"/>
          <w:bCs/>
          <w:sz w:val="18"/>
          <w:szCs w:val="18"/>
          <w:lang w:val="sv-SE"/>
        </w:rPr>
        <w:t xml:space="preserve"> Rancangan penelitian ini adalah </w:t>
      </w:r>
      <w:r w:rsidRPr="00C3527C">
        <w:rPr>
          <w:rFonts w:ascii="Arial" w:hAnsi="Arial" w:cs="Arial"/>
          <w:bCs/>
          <w:i/>
          <w:sz w:val="18"/>
          <w:szCs w:val="18"/>
          <w:lang w:val="sv-SE"/>
        </w:rPr>
        <w:t>cross sectional</w:t>
      </w:r>
      <w:r w:rsidRPr="00C3527C">
        <w:rPr>
          <w:rFonts w:ascii="Arial" w:hAnsi="Arial" w:cs="Arial"/>
          <w:bCs/>
          <w:sz w:val="18"/>
          <w:szCs w:val="18"/>
          <w:lang w:val="sv-SE"/>
        </w:rPr>
        <w:t xml:space="preserve">. Teknik pengambilan data yang digunakan adalah </w:t>
      </w:r>
      <w:r w:rsidRPr="00C3527C">
        <w:rPr>
          <w:rFonts w:ascii="Arial" w:hAnsi="Arial" w:cs="Arial"/>
          <w:bCs/>
          <w:i/>
          <w:sz w:val="18"/>
          <w:szCs w:val="18"/>
          <w:lang w:val="sv-SE"/>
        </w:rPr>
        <w:t>consecutive sampling</w:t>
      </w:r>
      <w:r w:rsidRPr="00C3527C">
        <w:rPr>
          <w:rFonts w:ascii="Arial" w:hAnsi="Arial" w:cs="Arial"/>
          <w:bCs/>
          <w:sz w:val="18"/>
          <w:szCs w:val="18"/>
          <w:lang w:val="sv-SE"/>
        </w:rPr>
        <w:t xml:space="preserve">. Jumlah sampel yang diperiksa sebanyak 94 orang perokok dan bukan perokok. Kedua kelompok dinilai berdasarkan tekanan darah (prehipertensi dan hipertensi) sesuai JNC 7. Urin diperiksa menggunakan uji </w:t>
      </w:r>
      <w:r w:rsidRPr="00C3527C">
        <w:rPr>
          <w:rFonts w:ascii="Arial" w:hAnsi="Arial" w:cs="Arial"/>
          <w:bCs/>
          <w:i/>
          <w:sz w:val="18"/>
          <w:szCs w:val="18"/>
          <w:lang w:val="sv-SE"/>
        </w:rPr>
        <w:t>dipstick</w:t>
      </w:r>
      <w:r w:rsidRPr="00C3527C">
        <w:rPr>
          <w:rFonts w:ascii="Arial" w:hAnsi="Arial" w:cs="Arial"/>
          <w:bCs/>
          <w:sz w:val="18"/>
          <w:szCs w:val="18"/>
          <w:lang w:val="sv-SE"/>
        </w:rPr>
        <w:t xml:space="preserve">. Analisis statistik yang digunakan adalah analisis komparasi menggunakan metode </w:t>
      </w:r>
      <w:r w:rsidRPr="00C3527C">
        <w:rPr>
          <w:rFonts w:ascii="Arial" w:hAnsi="Arial" w:cs="Arial"/>
          <w:bCs/>
          <w:i/>
          <w:sz w:val="18"/>
          <w:szCs w:val="18"/>
          <w:lang w:val="sv-SE"/>
        </w:rPr>
        <w:t xml:space="preserve">chi square </w:t>
      </w:r>
      <w:r w:rsidRPr="00C3527C">
        <w:rPr>
          <w:rFonts w:ascii="Arial" w:hAnsi="Arial" w:cs="Arial"/>
          <w:bCs/>
          <w:sz w:val="18"/>
          <w:szCs w:val="18"/>
          <w:lang w:val="sv-SE"/>
        </w:rPr>
        <w:t xml:space="preserve">dengan metode koreksi </w:t>
      </w:r>
      <w:r w:rsidRPr="00C3527C">
        <w:rPr>
          <w:rFonts w:ascii="Arial" w:hAnsi="Arial" w:cs="Arial"/>
          <w:bCs/>
          <w:i/>
          <w:sz w:val="18"/>
          <w:szCs w:val="18"/>
          <w:lang w:val="sv-SE"/>
        </w:rPr>
        <w:t>Yates</w:t>
      </w:r>
      <w:r w:rsidRPr="00C3527C">
        <w:rPr>
          <w:rFonts w:ascii="Arial" w:hAnsi="Arial" w:cs="Arial"/>
          <w:bCs/>
          <w:sz w:val="18"/>
          <w:szCs w:val="18"/>
          <w:lang w:val="sv-SE"/>
        </w:rPr>
        <w:t xml:space="preserve"> untuk mengetahui hubungan merokok dengan proteinuria pada subyek dengan prehipertensi dan hipertensi.</w:t>
      </w:r>
    </w:p>
    <w:p w:rsidR="00C3527C" w:rsidRPr="00C3527C" w:rsidRDefault="00C3527C" w:rsidP="00C3527C">
      <w:pPr>
        <w:spacing w:line="240" w:lineRule="auto"/>
        <w:rPr>
          <w:rFonts w:ascii="Arial" w:hAnsi="Arial" w:cs="Arial"/>
          <w:sz w:val="18"/>
          <w:szCs w:val="18"/>
        </w:rPr>
      </w:pPr>
      <w:r w:rsidRPr="00C3527C">
        <w:rPr>
          <w:rFonts w:ascii="Arial" w:hAnsi="Arial" w:cs="Arial"/>
          <w:b/>
          <w:sz w:val="18"/>
          <w:szCs w:val="18"/>
        </w:rPr>
        <w:t>Hasil</w:t>
      </w:r>
      <w:r w:rsidRPr="00C3527C">
        <w:rPr>
          <w:rFonts w:ascii="Arial" w:hAnsi="Arial" w:cs="Arial"/>
          <w:sz w:val="18"/>
          <w:szCs w:val="18"/>
        </w:rPr>
        <w:t>: Didapatkan hubungan yang bermakna antara merokok dengan proteinuria pada prehipertensi dan hipertensi. Pada subyek merokok dengan prehipertensi didapatkan rasio odds dengan tingkat kemaknaan 95% adalah 2,44 (1,36-4,36 dengan nilai p=0,010). Pada subyek merokok dengan hipertensi didapatkan rasio odds  dengan tingkat kemaknaan 95% adalah 3,56 (1,05-12,07 dengan nilai p=0,015).</w:t>
      </w:r>
    </w:p>
    <w:p w:rsidR="00C3527C" w:rsidRPr="00C3527C" w:rsidRDefault="00C3527C" w:rsidP="00C3527C">
      <w:pPr>
        <w:spacing w:line="240" w:lineRule="auto"/>
        <w:rPr>
          <w:rFonts w:ascii="Arial" w:hAnsi="Arial" w:cs="Arial"/>
          <w:sz w:val="18"/>
          <w:szCs w:val="18"/>
        </w:rPr>
      </w:pPr>
      <w:r w:rsidRPr="00C3527C">
        <w:rPr>
          <w:rFonts w:ascii="Arial" w:hAnsi="Arial" w:cs="Arial"/>
          <w:b/>
          <w:bCs/>
          <w:sz w:val="18"/>
          <w:szCs w:val="18"/>
          <w:lang w:val="sv-SE"/>
        </w:rPr>
        <w:t>Kesimpulan :</w:t>
      </w:r>
      <w:r w:rsidRPr="00C3527C">
        <w:rPr>
          <w:rFonts w:ascii="Arial" w:hAnsi="Arial" w:cs="Arial"/>
          <w:bCs/>
          <w:sz w:val="18"/>
          <w:szCs w:val="18"/>
          <w:lang w:val="sv-SE"/>
        </w:rPr>
        <w:t xml:space="preserve"> </w:t>
      </w:r>
      <w:r w:rsidRPr="00C3527C">
        <w:rPr>
          <w:rFonts w:ascii="Arial" w:hAnsi="Arial" w:cs="Arial"/>
          <w:color w:val="000000"/>
          <w:sz w:val="18"/>
          <w:szCs w:val="18"/>
        </w:rPr>
        <w:t>Terdapat hubungan yang bermakna antara kebiasaan merokok dengan proteinuria pada kelompok prehipertensi dan hipertensi pada mahasiswa pria di Universitas Mataram.</w:t>
      </w:r>
    </w:p>
    <w:p w:rsidR="00C3527C" w:rsidRDefault="00C3527C" w:rsidP="00C3527C">
      <w:pPr>
        <w:rPr>
          <w:rFonts w:ascii="Arial" w:hAnsi="Arial" w:cs="Arial"/>
          <w:bCs/>
          <w:i/>
          <w:sz w:val="18"/>
          <w:szCs w:val="18"/>
          <w:lang w:val="sv-SE"/>
        </w:rPr>
      </w:pPr>
      <w:r w:rsidRPr="00C3527C">
        <w:rPr>
          <w:rFonts w:ascii="Arial" w:hAnsi="Arial" w:cs="Arial"/>
          <w:b/>
          <w:bCs/>
          <w:sz w:val="18"/>
          <w:szCs w:val="18"/>
          <w:lang w:val="sv-SE"/>
        </w:rPr>
        <w:t>Kata Kunci</w:t>
      </w:r>
      <w:r w:rsidRPr="00C3527C">
        <w:rPr>
          <w:rFonts w:ascii="Arial" w:hAnsi="Arial" w:cs="Arial"/>
          <w:bCs/>
          <w:sz w:val="18"/>
          <w:szCs w:val="18"/>
          <w:lang w:val="sv-SE"/>
        </w:rPr>
        <w:t xml:space="preserve"> : </w:t>
      </w:r>
      <w:r w:rsidRPr="00C3527C">
        <w:rPr>
          <w:rFonts w:ascii="Arial" w:hAnsi="Arial" w:cs="Arial"/>
          <w:bCs/>
          <w:i/>
          <w:sz w:val="18"/>
          <w:szCs w:val="18"/>
          <w:lang w:val="sv-SE"/>
        </w:rPr>
        <w:t>merokok, proteinuria, hipertensi, prehipertensi</w:t>
      </w:r>
    </w:p>
    <w:p w:rsidR="00C3527C" w:rsidRDefault="00C3527C" w:rsidP="00C3527C">
      <w:pPr>
        <w:rPr>
          <w:rFonts w:ascii="Arial" w:hAnsi="Arial" w:cs="Arial"/>
          <w:bCs/>
          <w:i/>
          <w:sz w:val="18"/>
          <w:szCs w:val="18"/>
          <w:lang w:val="sv-SE"/>
        </w:rPr>
      </w:pPr>
    </w:p>
    <w:p w:rsidR="002F6E1E" w:rsidRDefault="002F6E1E" w:rsidP="002F6E1E">
      <w:pPr>
        <w:spacing w:line="480" w:lineRule="auto"/>
        <w:rPr>
          <w:b/>
          <w:szCs w:val="24"/>
          <w:lang w:val="pt-BR"/>
        </w:rPr>
        <w:sectPr w:rsidR="002F6E1E" w:rsidSect="00C3527C">
          <w:headerReference w:type="default" r:id="rId8"/>
          <w:pgSz w:w="12240" w:h="15840" w:code="1"/>
          <w:pgMar w:top="1440" w:right="1440" w:bottom="1440" w:left="1440" w:header="720" w:footer="720" w:gutter="0"/>
          <w:cols w:space="720"/>
          <w:docGrid w:linePitch="360"/>
        </w:sectPr>
      </w:pPr>
    </w:p>
    <w:p w:rsidR="002F6E1E" w:rsidRPr="002F6E1E" w:rsidRDefault="002F6E1E" w:rsidP="002F6E1E">
      <w:pPr>
        <w:rPr>
          <w:rFonts w:ascii="Arial" w:hAnsi="Arial" w:cs="Arial"/>
          <w:b/>
          <w:sz w:val="20"/>
          <w:szCs w:val="20"/>
          <w:lang w:val="pt-BR"/>
        </w:rPr>
      </w:pPr>
      <w:r w:rsidRPr="002F6E1E">
        <w:rPr>
          <w:rFonts w:ascii="Arial" w:hAnsi="Arial" w:cs="Arial"/>
          <w:b/>
          <w:sz w:val="20"/>
          <w:szCs w:val="20"/>
          <w:lang w:val="pt-BR"/>
        </w:rPr>
        <w:lastRenderedPageBreak/>
        <w:t>Pendahuluan</w:t>
      </w:r>
    </w:p>
    <w:p w:rsidR="002F6E1E" w:rsidRPr="002F6E1E" w:rsidRDefault="002F6E1E" w:rsidP="002F6E1E">
      <w:pPr>
        <w:pStyle w:val="ListParagraph"/>
        <w:spacing w:after="0" w:line="360" w:lineRule="auto"/>
        <w:ind w:left="0" w:firstLine="720"/>
        <w:jc w:val="both"/>
        <w:rPr>
          <w:rFonts w:ascii="Arial" w:hAnsi="Arial" w:cs="Arial"/>
          <w:sz w:val="20"/>
          <w:szCs w:val="20"/>
        </w:rPr>
      </w:pPr>
      <w:r w:rsidRPr="002F6E1E">
        <w:rPr>
          <w:rFonts w:ascii="Arial" w:hAnsi="Arial" w:cs="Arial"/>
          <w:sz w:val="20"/>
          <w:szCs w:val="20"/>
        </w:rPr>
        <w:t>Pada tahun 2000, lebih dari 25% populasi dunia merupakan penderita hipertensi, atau satu miliar orang, dan dua pertiga penderita hipertensi ada di negara berkembang. Angka kejadian hipertensi di Indonesia berkisar 6-15% dan masih banyak penderita yang belum terjangkau oleh pelayanan kesehatan, terutama di daerah pedesaan. Data NHANES (</w:t>
      </w:r>
      <w:r w:rsidRPr="002F6E1E">
        <w:rPr>
          <w:rFonts w:ascii="Arial" w:hAnsi="Arial" w:cs="Arial"/>
          <w:i/>
          <w:sz w:val="20"/>
          <w:szCs w:val="20"/>
        </w:rPr>
        <w:t>National Health and Nutrition Examination Survey</w:t>
      </w:r>
      <w:r w:rsidRPr="002F6E1E">
        <w:rPr>
          <w:rFonts w:ascii="Arial" w:hAnsi="Arial" w:cs="Arial"/>
          <w:sz w:val="20"/>
          <w:szCs w:val="20"/>
        </w:rPr>
        <w:t>) 2005-</w:t>
      </w:r>
      <w:r w:rsidRPr="002F6E1E">
        <w:rPr>
          <w:rFonts w:ascii="Arial" w:hAnsi="Arial" w:cs="Arial"/>
          <w:sz w:val="20"/>
          <w:szCs w:val="20"/>
        </w:rPr>
        <w:lastRenderedPageBreak/>
        <w:t>2008 menunjukan bahwa risiko hipertensi di Amerika Serikat meningkat sesuai dengan peningkatan usia, kurang lebih 76,4 juta orang berusia &gt;20 tahun adalah penderita hipertensi, berarti 1 dari 3 ora</w:t>
      </w:r>
      <w:r w:rsidR="00B707B6">
        <w:rPr>
          <w:rFonts w:ascii="Arial" w:hAnsi="Arial" w:cs="Arial"/>
          <w:sz w:val="20"/>
          <w:szCs w:val="20"/>
        </w:rPr>
        <w:t>ng dewasa menderita hipertensi</w:t>
      </w:r>
      <w:r w:rsidRPr="002F6E1E">
        <w:rPr>
          <w:rFonts w:ascii="Arial" w:hAnsi="Arial" w:cs="Arial"/>
          <w:sz w:val="20"/>
          <w:szCs w:val="20"/>
        </w:rPr>
        <w:t>.</w:t>
      </w:r>
      <w:r w:rsidR="00B707B6" w:rsidRPr="00B707B6">
        <w:rPr>
          <w:rFonts w:ascii="Arial" w:hAnsi="Arial" w:cs="Arial"/>
          <w:sz w:val="20"/>
          <w:szCs w:val="20"/>
          <w:vertAlign w:val="superscript"/>
        </w:rPr>
        <w:t>1</w:t>
      </w:r>
    </w:p>
    <w:p w:rsidR="002F6E1E" w:rsidRPr="002F6E1E" w:rsidRDefault="002F6E1E" w:rsidP="002F6E1E">
      <w:pPr>
        <w:ind w:firstLine="720"/>
        <w:contextualSpacing/>
        <w:rPr>
          <w:rFonts w:ascii="Arial" w:eastAsiaTheme="minorHAnsi" w:hAnsi="Arial" w:cs="Arial"/>
          <w:sz w:val="20"/>
          <w:szCs w:val="20"/>
        </w:rPr>
      </w:pPr>
      <w:r w:rsidRPr="002F6E1E">
        <w:rPr>
          <w:rFonts w:ascii="Arial" w:eastAsiaTheme="minorHAnsi" w:hAnsi="Arial" w:cs="Arial"/>
          <w:sz w:val="20"/>
          <w:szCs w:val="20"/>
        </w:rPr>
        <w:t xml:space="preserve">Prehipertensi merupakan prekursor terjadinya hipertensi. Vasan </w:t>
      </w:r>
      <w:r w:rsidRPr="002F6E1E">
        <w:rPr>
          <w:rFonts w:ascii="Arial" w:eastAsiaTheme="minorHAnsi" w:hAnsi="Arial" w:cs="Arial"/>
          <w:i/>
          <w:sz w:val="20"/>
          <w:szCs w:val="20"/>
        </w:rPr>
        <w:t>et al.</w:t>
      </w:r>
      <w:r w:rsidRPr="002F6E1E">
        <w:rPr>
          <w:rFonts w:ascii="Arial" w:eastAsiaTheme="minorHAnsi" w:hAnsi="Arial" w:cs="Arial"/>
          <w:sz w:val="20"/>
          <w:szCs w:val="20"/>
        </w:rPr>
        <w:t xml:space="preserve"> menemukan bahwa kejadian perubahan tekanan darah dari prehipertensi menjadi hipertensi selama empat </w:t>
      </w:r>
      <w:r w:rsidRPr="002F6E1E">
        <w:rPr>
          <w:rFonts w:ascii="Arial" w:eastAsiaTheme="minorHAnsi" w:hAnsi="Arial" w:cs="Arial"/>
          <w:sz w:val="20"/>
          <w:szCs w:val="20"/>
        </w:rPr>
        <w:lastRenderedPageBreak/>
        <w:t>tahun sebanyak 30%. Prehipertensi juga berhubungan dengan peningkatan risiko terjadinya penyakit kardiovasular dan diabetes mellitus.</w:t>
      </w:r>
      <w:r w:rsidR="00B707B6" w:rsidRPr="00B707B6">
        <w:rPr>
          <w:rFonts w:ascii="Arial" w:eastAsiaTheme="minorHAnsi" w:hAnsi="Arial" w:cs="Arial"/>
          <w:sz w:val="20"/>
          <w:szCs w:val="20"/>
          <w:vertAlign w:val="superscript"/>
        </w:rPr>
        <w:t>2</w:t>
      </w:r>
    </w:p>
    <w:p w:rsidR="002F6E1E" w:rsidRPr="002F6E1E" w:rsidRDefault="002F6E1E" w:rsidP="002F6E1E">
      <w:pPr>
        <w:ind w:firstLine="540"/>
        <w:contextualSpacing/>
        <w:rPr>
          <w:rFonts w:ascii="Arial" w:eastAsiaTheme="minorHAnsi" w:hAnsi="Arial" w:cs="Arial"/>
          <w:color w:val="000000"/>
          <w:sz w:val="20"/>
          <w:szCs w:val="20"/>
        </w:rPr>
      </w:pPr>
      <w:r w:rsidRPr="002F6E1E">
        <w:rPr>
          <w:rFonts w:ascii="Arial" w:eastAsiaTheme="minorHAnsi" w:hAnsi="Arial" w:cs="Arial"/>
          <w:color w:val="000000"/>
          <w:sz w:val="20"/>
          <w:szCs w:val="20"/>
        </w:rPr>
        <w:t>Proteinuria merupakan manifestasi klinis besar dari gangguan ginjal dan merupakan indikator dari memburuknya fungsi ginjal baik pada penyakit ginjal pada orang dengan diabetes maupun penyakit ginjal non diabetes. Sejak dahulu proteinuria dianggap sebagai suatu faktor prognostik yang paling bermakna dan paling akurat.  Faktor–faktor yang bisa menyebabkan peningkatan protein dalam urin termasuk  infeksi saluran kemih, hipertensi, diabetes, penyakit kardiovaskular, dan merokok.</w:t>
      </w:r>
      <w:r w:rsidR="00B707B6" w:rsidRPr="00B707B6">
        <w:rPr>
          <w:rFonts w:ascii="Arial" w:eastAsiaTheme="minorHAnsi" w:hAnsi="Arial" w:cs="Arial"/>
          <w:color w:val="000000"/>
          <w:sz w:val="20"/>
          <w:szCs w:val="20"/>
          <w:vertAlign w:val="superscript"/>
        </w:rPr>
        <w:t>3,4</w:t>
      </w:r>
    </w:p>
    <w:p w:rsidR="002F6E1E" w:rsidRPr="002F6E1E" w:rsidRDefault="002F6E1E" w:rsidP="002F6E1E">
      <w:pPr>
        <w:ind w:firstLine="540"/>
        <w:contextualSpacing/>
        <w:rPr>
          <w:rFonts w:ascii="Arial" w:eastAsiaTheme="minorHAnsi" w:hAnsi="Arial" w:cs="Arial"/>
          <w:sz w:val="20"/>
          <w:szCs w:val="20"/>
        </w:rPr>
      </w:pPr>
      <w:r w:rsidRPr="002F6E1E">
        <w:rPr>
          <w:rFonts w:ascii="Arial" w:eastAsiaTheme="minorHAnsi" w:hAnsi="Arial" w:cs="Arial"/>
          <w:sz w:val="20"/>
          <w:szCs w:val="20"/>
        </w:rPr>
        <w:t xml:space="preserve">Penelitian </w:t>
      </w:r>
      <w:r w:rsidRPr="002F6E1E">
        <w:rPr>
          <w:rFonts w:ascii="Arial" w:eastAsiaTheme="minorHAnsi" w:hAnsi="Arial" w:cs="Arial"/>
          <w:i/>
          <w:sz w:val="20"/>
          <w:szCs w:val="20"/>
        </w:rPr>
        <w:t>cross sectional</w:t>
      </w:r>
      <w:r w:rsidRPr="002F6E1E">
        <w:rPr>
          <w:rFonts w:ascii="Arial" w:eastAsiaTheme="minorHAnsi" w:hAnsi="Arial" w:cs="Arial"/>
          <w:sz w:val="20"/>
          <w:szCs w:val="20"/>
        </w:rPr>
        <w:t xml:space="preserve"> yang dilakukan NHANES terhadap subyek prehipertensi antara tahun 1999-2006 menunjukkan bahwa orang dengan prehipertensi mengalami peningkatan proteinuria (30% dibandingkan orang dengan tekanan darah yang normal). Lebih dari 6,3% partisipan dengan prehipertensi menunjukkan adanya kerusakan ginjal yang meny</w:t>
      </w:r>
      <w:r w:rsidR="00B707B6">
        <w:rPr>
          <w:rFonts w:ascii="Arial" w:eastAsiaTheme="minorHAnsi" w:hAnsi="Arial" w:cs="Arial"/>
          <w:sz w:val="20"/>
          <w:szCs w:val="20"/>
        </w:rPr>
        <w:t>ebabkan terjadinya proteinuria.</w:t>
      </w:r>
      <w:r w:rsidR="00B707B6" w:rsidRPr="00B707B6">
        <w:rPr>
          <w:rFonts w:ascii="Arial" w:eastAsiaTheme="minorHAnsi" w:hAnsi="Arial" w:cs="Arial"/>
          <w:sz w:val="20"/>
          <w:szCs w:val="20"/>
          <w:vertAlign w:val="superscript"/>
        </w:rPr>
        <w:t>5</w:t>
      </w:r>
    </w:p>
    <w:p w:rsidR="002F6E1E" w:rsidRPr="002F6E1E" w:rsidRDefault="002F6E1E" w:rsidP="002F6E1E">
      <w:pPr>
        <w:ind w:firstLine="540"/>
        <w:contextualSpacing/>
        <w:rPr>
          <w:rFonts w:ascii="Arial" w:eastAsiaTheme="minorHAnsi" w:hAnsi="Arial" w:cs="Arial"/>
          <w:bCs/>
          <w:iCs/>
          <w:sz w:val="20"/>
          <w:szCs w:val="20"/>
          <w:lang w:val="sv-SE"/>
        </w:rPr>
      </w:pPr>
      <w:r w:rsidRPr="002F6E1E">
        <w:rPr>
          <w:rFonts w:ascii="Arial" w:eastAsiaTheme="minorHAnsi" w:hAnsi="Arial" w:cs="Arial"/>
          <w:bCs/>
          <w:iCs/>
          <w:sz w:val="20"/>
          <w:szCs w:val="20"/>
          <w:lang w:val="sv-SE"/>
        </w:rPr>
        <w:t xml:space="preserve">Survey yang dilakukan oleh </w:t>
      </w:r>
      <w:r w:rsidRPr="002F6E1E">
        <w:rPr>
          <w:rFonts w:ascii="Arial" w:eastAsiaTheme="minorHAnsi" w:hAnsi="Arial" w:cs="Arial"/>
          <w:bCs/>
          <w:i/>
          <w:iCs/>
          <w:sz w:val="20"/>
          <w:szCs w:val="20"/>
          <w:lang w:val="sv-SE"/>
        </w:rPr>
        <w:t>Global Adult Tobacco Survey</w:t>
      </w:r>
      <w:r w:rsidRPr="002F6E1E">
        <w:rPr>
          <w:rFonts w:ascii="Arial" w:eastAsiaTheme="minorHAnsi" w:hAnsi="Arial" w:cs="Arial"/>
          <w:bCs/>
          <w:iCs/>
          <w:sz w:val="20"/>
          <w:szCs w:val="20"/>
          <w:lang w:val="sv-SE"/>
        </w:rPr>
        <w:t xml:space="preserve"> (GATS) tahun 2011 meunjukkan, bila dibandingkan dengan negara-negara lain yang melaksanakan GATS, Indonesia menduduki posisi pertama dengan prevalensi perokok aktif tertinggi, yaitu 67% pada laki-laki dan 2,7% pada wanita jika dibandingkan dengan India, laki-laki 47,9% dan wanita 20,3%, Filipina (2009) laki-laki 47,7% dan wanita 9%, Thailand (2009</w:t>
      </w:r>
      <w:r w:rsidR="00B707B6">
        <w:rPr>
          <w:rFonts w:ascii="Arial" w:eastAsiaTheme="minorHAnsi" w:hAnsi="Arial" w:cs="Arial"/>
          <w:bCs/>
          <w:iCs/>
          <w:sz w:val="20"/>
          <w:szCs w:val="20"/>
          <w:lang w:val="sv-SE"/>
        </w:rPr>
        <w:t>) laki-laki 45% dan wanita 3,1%.</w:t>
      </w:r>
      <w:r w:rsidR="00775ACA" w:rsidRPr="00775ACA">
        <w:rPr>
          <w:rFonts w:ascii="Arial" w:eastAsiaTheme="minorHAnsi" w:hAnsi="Arial" w:cs="Arial"/>
          <w:bCs/>
          <w:iCs/>
          <w:sz w:val="20"/>
          <w:szCs w:val="20"/>
          <w:vertAlign w:val="superscript"/>
          <w:lang w:val="sv-SE"/>
        </w:rPr>
        <w:t>6</w:t>
      </w:r>
    </w:p>
    <w:p w:rsidR="002F6E1E" w:rsidRPr="002F6E1E" w:rsidRDefault="002F6E1E" w:rsidP="002F6E1E">
      <w:pPr>
        <w:ind w:firstLine="540"/>
        <w:contextualSpacing/>
        <w:rPr>
          <w:rFonts w:ascii="Arial" w:eastAsiaTheme="minorHAnsi" w:hAnsi="Arial" w:cs="Arial"/>
          <w:b/>
          <w:sz w:val="20"/>
          <w:szCs w:val="20"/>
        </w:rPr>
      </w:pPr>
      <w:r w:rsidRPr="002F6E1E">
        <w:rPr>
          <w:rFonts w:ascii="Arial" w:eastAsiaTheme="minorHAnsi" w:hAnsi="Arial" w:cs="Arial"/>
          <w:color w:val="000000"/>
          <w:sz w:val="20"/>
          <w:szCs w:val="20"/>
        </w:rPr>
        <w:t>Beberapa penelitian menunjukkan adanya hubungan antara merokok dan proteinuria. Kebiasaan merokok meningkatkan risiko mengalami gagal ginjal kronik sampai 52% dibandingkan dengan tidak merokok, meskipun masih belum diketahui dengan pasti prevalensi perokok dengan kejadian proteinuria.</w:t>
      </w:r>
      <w:r w:rsidRPr="00B707B6">
        <w:rPr>
          <w:rFonts w:ascii="Arial" w:eastAsiaTheme="minorHAnsi" w:hAnsi="Arial" w:cs="Arial"/>
          <w:color w:val="000000"/>
          <w:sz w:val="20"/>
          <w:szCs w:val="20"/>
          <w:vertAlign w:val="superscript"/>
        </w:rPr>
        <w:t xml:space="preserve"> </w:t>
      </w:r>
      <w:r w:rsidR="00775ACA">
        <w:rPr>
          <w:rFonts w:ascii="Arial" w:eastAsiaTheme="minorHAnsi" w:hAnsi="Arial" w:cs="Arial"/>
          <w:color w:val="000000"/>
          <w:sz w:val="20"/>
          <w:szCs w:val="20"/>
          <w:vertAlign w:val="superscript"/>
        </w:rPr>
        <w:t>7</w:t>
      </w:r>
    </w:p>
    <w:p w:rsidR="002F6E1E" w:rsidRPr="002F6E1E" w:rsidRDefault="002F6E1E" w:rsidP="002F6E1E">
      <w:pPr>
        <w:ind w:firstLine="540"/>
        <w:contextualSpacing/>
        <w:rPr>
          <w:rFonts w:ascii="Arial" w:eastAsiaTheme="minorHAnsi" w:hAnsi="Arial" w:cs="Arial"/>
          <w:bCs/>
          <w:iCs/>
          <w:sz w:val="20"/>
          <w:szCs w:val="20"/>
          <w:lang w:val="nb-NO"/>
        </w:rPr>
      </w:pPr>
      <w:r w:rsidRPr="002F6E1E">
        <w:rPr>
          <w:rFonts w:ascii="Arial" w:eastAsiaTheme="minorHAnsi" w:hAnsi="Arial" w:cs="Arial"/>
          <w:bCs/>
          <w:iCs/>
          <w:sz w:val="20"/>
          <w:szCs w:val="20"/>
          <w:lang w:val="nb-NO"/>
        </w:rPr>
        <w:t xml:space="preserve">Merokok diketahui dapat meningkatkan risiko untuk terjadinya proteinuria dan meningkatkan progresifitas dari proteinuria menuju nefropati serta pada akhirnya menyebabkan penurunan GFR. Penelitian </w:t>
      </w:r>
      <w:r w:rsidRPr="002F6E1E">
        <w:rPr>
          <w:rFonts w:ascii="Arial" w:eastAsiaTheme="minorHAnsi" w:hAnsi="Arial" w:cs="Arial"/>
          <w:bCs/>
          <w:i/>
          <w:iCs/>
          <w:sz w:val="20"/>
          <w:szCs w:val="20"/>
          <w:lang w:val="nb-NO"/>
        </w:rPr>
        <w:t>cross sectional</w:t>
      </w:r>
      <w:r w:rsidRPr="002F6E1E">
        <w:rPr>
          <w:rFonts w:ascii="Arial" w:eastAsiaTheme="minorHAnsi" w:hAnsi="Arial" w:cs="Arial"/>
          <w:bCs/>
          <w:iCs/>
          <w:sz w:val="20"/>
          <w:szCs w:val="20"/>
          <w:lang w:val="nb-NO"/>
        </w:rPr>
        <w:t xml:space="preserve"> yang melibatkan 7.476 sampel non diabetik menunjukkan bahwa rerata ekskresi protein pada kelompok perokok lebih tinggi daripada yang bukan perokok, meningkatkan risiko mengalami proteinuria dan penurunan GFR. Perokok dengan jumlah lebih dari 20 batang/hari akan memiliki risiko gangguan fungsi ginjal yang lebih tinggi dibandingkan yang jumlah rokoknya kurang dari 20 batang/hari.</w:t>
      </w:r>
      <w:r w:rsidR="00286E14">
        <w:rPr>
          <w:rFonts w:ascii="Arial" w:eastAsiaTheme="minorHAnsi" w:hAnsi="Arial" w:cs="Arial"/>
          <w:bCs/>
          <w:iCs/>
          <w:sz w:val="20"/>
          <w:szCs w:val="20"/>
          <w:vertAlign w:val="superscript"/>
          <w:lang w:val="nb-NO"/>
        </w:rPr>
        <w:t>9</w:t>
      </w:r>
      <w:r w:rsidRPr="002F6E1E">
        <w:rPr>
          <w:rFonts w:ascii="Arial" w:eastAsiaTheme="minorHAnsi" w:hAnsi="Arial" w:cs="Arial"/>
          <w:bCs/>
          <w:iCs/>
          <w:sz w:val="20"/>
          <w:szCs w:val="20"/>
          <w:lang w:val="nb-NO"/>
        </w:rPr>
        <w:t xml:space="preserve"> Prevalensi proteinuria pada perokok dengan hipertensi dua kali lebih besar dibandingkan orang dengan hipertensi tanpa merokok. Perokok yang mengkonsumsi rokok lebih dari 20 batang perhari yang disertai dengan hipertensi diketahui 3,7 kali lebih tinggi dibandingkan bukan perokok</w:t>
      </w:r>
      <w:r w:rsidR="00A82DC5">
        <w:rPr>
          <w:rFonts w:ascii="Arial" w:eastAsiaTheme="minorHAnsi" w:hAnsi="Arial" w:cs="Arial"/>
          <w:bCs/>
          <w:iCs/>
          <w:sz w:val="20"/>
          <w:szCs w:val="20"/>
          <w:lang w:val="nb-NO"/>
        </w:rPr>
        <w:t xml:space="preserve"> untuk terbentuknya proteinuria</w:t>
      </w:r>
      <w:r w:rsidRPr="002F6E1E">
        <w:rPr>
          <w:rFonts w:ascii="Arial" w:eastAsiaTheme="minorHAnsi" w:hAnsi="Arial" w:cs="Arial"/>
          <w:bCs/>
          <w:iCs/>
          <w:sz w:val="20"/>
          <w:szCs w:val="20"/>
          <w:lang w:val="nb-NO"/>
        </w:rPr>
        <w:t>.</w:t>
      </w:r>
      <w:r w:rsidR="00286E14">
        <w:rPr>
          <w:rFonts w:ascii="Arial" w:eastAsiaTheme="minorHAnsi" w:hAnsi="Arial" w:cs="Arial"/>
          <w:bCs/>
          <w:iCs/>
          <w:sz w:val="20"/>
          <w:szCs w:val="20"/>
          <w:vertAlign w:val="superscript"/>
          <w:lang w:val="nb-NO"/>
        </w:rPr>
        <w:t>9</w:t>
      </w:r>
    </w:p>
    <w:p w:rsidR="004E0D22" w:rsidRDefault="004E0D22" w:rsidP="002F6E1E">
      <w:pPr>
        <w:ind w:firstLine="540"/>
        <w:contextualSpacing/>
        <w:rPr>
          <w:rFonts w:ascii="Arial" w:eastAsiaTheme="minorHAnsi" w:hAnsi="Arial" w:cs="Arial"/>
          <w:bCs/>
          <w:iCs/>
          <w:sz w:val="20"/>
          <w:szCs w:val="20"/>
          <w:lang w:val="sv-SE"/>
        </w:rPr>
      </w:pPr>
    </w:p>
    <w:p w:rsidR="004E0D22" w:rsidRDefault="004E0D22" w:rsidP="002F6E1E">
      <w:pPr>
        <w:ind w:firstLine="540"/>
        <w:contextualSpacing/>
        <w:rPr>
          <w:rFonts w:ascii="Arial" w:eastAsiaTheme="minorHAnsi" w:hAnsi="Arial" w:cs="Arial"/>
          <w:bCs/>
          <w:iCs/>
          <w:sz w:val="20"/>
          <w:szCs w:val="20"/>
          <w:lang w:val="sv-SE"/>
        </w:rPr>
      </w:pPr>
    </w:p>
    <w:p w:rsidR="004E0D22" w:rsidRDefault="004E0D22" w:rsidP="002F6E1E">
      <w:pPr>
        <w:ind w:firstLine="540"/>
        <w:contextualSpacing/>
        <w:rPr>
          <w:rFonts w:ascii="Arial" w:eastAsiaTheme="minorHAnsi" w:hAnsi="Arial" w:cs="Arial"/>
          <w:bCs/>
          <w:iCs/>
          <w:sz w:val="20"/>
          <w:szCs w:val="20"/>
          <w:lang w:val="sv-SE"/>
        </w:rPr>
      </w:pPr>
    </w:p>
    <w:p w:rsidR="004E0D22" w:rsidRDefault="004E0D22" w:rsidP="002F6E1E">
      <w:pPr>
        <w:ind w:firstLine="540"/>
        <w:contextualSpacing/>
        <w:rPr>
          <w:rFonts w:ascii="Arial" w:eastAsiaTheme="minorHAnsi" w:hAnsi="Arial" w:cs="Arial"/>
          <w:bCs/>
          <w:iCs/>
          <w:sz w:val="20"/>
          <w:szCs w:val="20"/>
          <w:lang w:val="sv-SE"/>
        </w:rPr>
      </w:pPr>
    </w:p>
    <w:p w:rsidR="002F6E1E" w:rsidRPr="002F6E1E" w:rsidRDefault="002F6E1E" w:rsidP="002F6E1E">
      <w:pPr>
        <w:ind w:firstLine="540"/>
        <w:contextualSpacing/>
        <w:rPr>
          <w:rFonts w:ascii="Arial" w:eastAsiaTheme="minorHAnsi" w:hAnsi="Arial" w:cs="Arial"/>
          <w:bCs/>
          <w:iCs/>
          <w:sz w:val="20"/>
          <w:szCs w:val="20"/>
          <w:lang w:val="sv-SE"/>
        </w:rPr>
      </w:pPr>
      <w:r w:rsidRPr="002F6E1E">
        <w:rPr>
          <w:rFonts w:ascii="Arial" w:eastAsiaTheme="minorHAnsi" w:hAnsi="Arial" w:cs="Arial"/>
          <w:bCs/>
          <w:iCs/>
          <w:sz w:val="20"/>
          <w:szCs w:val="20"/>
          <w:lang w:val="sv-SE"/>
        </w:rPr>
        <w:t>.</w:t>
      </w:r>
    </w:p>
    <w:p w:rsidR="002F6E1E" w:rsidRPr="002F6E1E" w:rsidRDefault="002F6E1E" w:rsidP="002F6E1E">
      <w:pPr>
        <w:ind w:firstLine="540"/>
        <w:contextualSpacing/>
        <w:rPr>
          <w:rFonts w:ascii="Arial" w:eastAsiaTheme="minorHAnsi" w:hAnsi="Arial" w:cs="Arial"/>
          <w:bCs/>
          <w:iCs/>
          <w:sz w:val="20"/>
          <w:szCs w:val="20"/>
          <w:lang w:val="sv-SE"/>
        </w:rPr>
      </w:pPr>
    </w:p>
    <w:p w:rsidR="002F6E1E" w:rsidRDefault="002F6E1E" w:rsidP="002F6E1E">
      <w:pPr>
        <w:rPr>
          <w:rFonts w:ascii="Arial" w:hAnsi="Arial" w:cs="Arial"/>
          <w:b/>
          <w:sz w:val="20"/>
          <w:szCs w:val="20"/>
          <w:lang w:val="pt-BR"/>
        </w:rPr>
        <w:sectPr w:rsidR="002F6E1E" w:rsidSect="002F6E1E">
          <w:type w:val="continuous"/>
          <w:pgSz w:w="12240" w:h="15840" w:code="1"/>
          <w:pgMar w:top="1440" w:right="1440" w:bottom="1440" w:left="1440" w:header="720" w:footer="720" w:gutter="0"/>
          <w:cols w:num="2" w:space="720"/>
          <w:docGrid w:linePitch="360"/>
        </w:sectPr>
      </w:pPr>
    </w:p>
    <w:p w:rsidR="00B707B6" w:rsidRDefault="00B707B6" w:rsidP="002F6E1E">
      <w:pPr>
        <w:rPr>
          <w:rFonts w:ascii="Arial" w:hAnsi="Arial" w:cs="Arial"/>
          <w:b/>
          <w:sz w:val="20"/>
          <w:szCs w:val="20"/>
          <w:lang w:val="pt-BR"/>
        </w:rPr>
      </w:pPr>
    </w:p>
    <w:p w:rsidR="00B707B6" w:rsidRDefault="00B707B6" w:rsidP="002F6E1E">
      <w:pPr>
        <w:rPr>
          <w:rFonts w:ascii="Arial" w:hAnsi="Arial" w:cs="Arial"/>
          <w:b/>
          <w:sz w:val="20"/>
          <w:szCs w:val="20"/>
          <w:lang w:val="pt-BR"/>
        </w:rPr>
      </w:pPr>
    </w:p>
    <w:p w:rsidR="00683F4F" w:rsidRDefault="00683F4F" w:rsidP="002F6E1E">
      <w:pPr>
        <w:rPr>
          <w:rFonts w:ascii="Arial" w:hAnsi="Arial" w:cs="Arial"/>
          <w:b/>
          <w:sz w:val="20"/>
          <w:szCs w:val="20"/>
          <w:lang w:val="pt-BR"/>
        </w:rPr>
        <w:sectPr w:rsidR="00683F4F" w:rsidSect="00B75B4C">
          <w:type w:val="continuous"/>
          <w:pgSz w:w="12240" w:h="15840" w:code="1"/>
          <w:pgMar w:top="900" w:right="1440" w:bottom="1440" w:left="1440" w:header="720" w:footer="720" w:gutter="0"/>
          <w:cols w:space="720"/>
          <w:docGrid w:linePitch="360"/>
        </w:sectPr>
      </w:pPr>
    </w:p>
    <w:p w:rsidR="00A36F1F" w:rsidRDefault="00A36F1F" w:rsidP="002F6E1E">
      <w:pPr>
        <w:rPr>
          <w:rFonts w:ascii="Arial" w:hAnsi="Arial" w:cs="Arial"/>
          <w:b/>
          <w:sz w:val="20"/>
          <w:szCs w:val="20"/>
          <w:lang w:val="pt-BR"/>
        </w:rPr>
      </w:pPr>
    </w:p>
    <w:p w:rsidR="00A36F1F" w:rsidRDefault="00A36F1F" w:rsidP="002F6E1E">
      <w:pPr>
        <w:rPr>
          <w:rFonts w:ascii="Arial" w:hAnsi="Arial" w:cs="Arial"/>
          <w:b/>
          <w:sz w:val="20"/>
          <w:szCs w:val="20"/>
          <w:lang w:val="pt-BR"/>
        </w:rPr>
      </w:pPr>
    </w:p>
    <w:p w:rsidR="002F6E1E" w:rsidRPr="002F6E1E" w:rsidRDefault="002F6E1E" w:rsidP="002F6E1E">
      <w:pPr>
        <w:rPr>
          <w:rFonts w:ascii="Arial" w:hAnsi="Arial" w:cs="Arial"/>
          <w:b/>
          <w:sz w:val="20"/>
          <w:szCs w:val="20"/>
          <w:lang w:val="pt-BR"/>
        </w:rPr>
      </w:pPr>
      <w:r w:rsidRPr="002F6E1E">
        <w:rPr>
          <w:rFonts w:ascii="Arial" w:hAnsi="Arial" w:cs="Arial"/>
          <w:b/>
          <w:sz w:val="20"/>
          <w:szCs w:val="20"/>
          <w:lang w:val="pt-BR"/>
        </w:rPr>
        <w:t>Metode Penelitian</w:t>
      </w:r>
    </w:p>
    <w:p w:rsidR="002F6E1E" w:rsidRPr="002F6E1E" w:rsidRDefault="002F6E1E" w:rsidP="002F6E1E">
      <w:pPr>
        <w:ind w:firstLine="720"/>
        <w:rPr>
          <w:rFonts w:ascii="Arial" w:hAnsi="Arial" w:cs="Arial"/>
          <w:sz w:val="20"/>
          <w:szCs w:val="20"/>
          <w:lang w:val="pt-BR"/>
        </w:rPr>
      </w:pPr>
      <w:r w:rsidRPr="002F6E1E">
        <w:rPr>
          <w:rFonts w:ascii="Arial" w:hAnsi="Arial" w:cs="Arial"/>
          <w:sz w:val="20"/>
          <w:szCs w:val="20"/>
          <w:lang w:val="pt-BR"/>
        </w:rPr>
        <w:t xml:space="preserve">Penelitian ini merupakan penelitian observasional analitik dengan menggunakan desain penelitian </w:t>
      </w:r>
      <w:r w:rsidRPr="002F6E1E">
        <w:rPr>
          <w:rFonts w:ascii="Arial" w:hAnsi="Arial" w:cs="Arial"/>
          <w:i/>
          <w:sz w:val="20"/>
          <w:szCs w:val="20"/>
          <w:lang w:val="pt-BR"/>
        </w:rPr>
        <w:t>cross sectional</w:t>
      </w:r>
      <w:r w:rsidRPr="002F6E1E">
        <w:rPr>
          <w:rFonts w:ascii="Arial" w:hAnsi="Arial" w:cs="Arial"/>
          <w:sz w:val="20"/>
          <w:szCs w:val="20"/>
          <w:lang w:val="pt-BR"/>
        </w:rPr>
        <w:t xml:space="preserve">. Teknik pengambilan sampel yang digunakan menggunakan </w:t>
      </w:r>
      <w:r w:rsidRPr="002F6E1E">
        <w:rPr>
          <w:rFonts w:ascii="Arial" w:hAnsi="Arial" w:cs="Arial"/>
          <w:i/>
          <w:sz w:val="20"/>
          <w:szCs w:val="20"/>
          <w:lang w:val="pt-BR"/>
        </w:rPr>
        <w:t>non probability sampling</w:t>
      </w:r>
      <w:r w:rsidRPr="002F6E1E">
        <w:rPr>
          <w:rFonts w:ascii="Arial" w:hAnsi="Arial" w:cs="Arial"/>
          <w:sz w:val="20"/>
          <w:szCs w:val="20"/>
          <w:lang w:val="pt-BR"/>
        </w:rPr>
        <w:t xml:space="preserve"> dengan metode </w:t>
      </w:r>
      <w:r w:rsidRPr="002F6E1E">
        <w:rPr>
          <w:rFonts w:ascii="Arial" w:hAnsi="Arial" w:cs="Arial"/>
          <w:i/>
          <w:sz w:val="20"/>
          <w:szCs w:val="20"/>
          <w:lang w:val="pt-BR"/>
        </w:rPr>
        <w:t>consecutive</w:t>
      </w:r>
      <w:r w:rsidRPr="002F6E1E">
        <w:rPr>
          <w:rFonts w:ascii="Arial" w:hAnsi="Arial" w:cs="Arial"/>
          <w:sz w:val="20"/>
          <w:szCs w:val="20"/>
          <w:lang w:val="pt-BR"/>
        </w:rPr>
        <w:t>. Penelitian ini dilakukan secara langsung pada mahasiswa pria yang ada di lingkungan Universitas Mataram. Penelitian ini dilaksanakan mulai dari bulan Oktober 2013 hingga Februari 2014. Pada penelitian ini didapatkan jumlah sampel sebanyak 94 orang dengan prehipertensi dan hipertensi dengan 48 orang yang merokok dan 46 orang yang tidak merokok.</w:t>
      </w:r>
    </w:p>
    <w:p w:rsidR="002F6E1E" w:rsidRPr="002F6E1E" w:rsidRDefault="002F6E1E" w:rsidP="002F6E1E">
      <w:pPr>
        <w:ind w:firstLine="720"/>
        <w:rPr>
          <w:rFonts w:ascii="Arial" w:hAnsi="Arial" w:cs="Arial"/>
          <w:sz w:val="20"/>
          <w:szCs w:val="20"/>
          <w:lang w:val="pt-BR"/>
        </w:rPr>
      </w:pPr>
      <w:r w:rsidRPr="002F6E1E">
        <w:rPr>
          <w:rFonts w:ascii="Arial" w:hAnsi="Arial" w:cs="Arial"/>
          <w:sz w:val="20"/>
          <w:szCs w:val="20"/>
          <w:lang w:val="pt-BR"/>
        </w:rPr>
        <w:t xml:space="preserve">Subyek perokok adalah subyek yang telah merokok aktif dalam jangka waktu minimal 1 tahun dan merokok minimal 1 batang perhari. Subyek bukan perokok adalah subyek yang tidak merokok atau tidak merokok aktif dalam jangka waktu minimal 6 bulan. Subyek yang mempunyai nilai nilai tekanan darah hipertensi dan prehipertensi sesuai kriteria JNC 7. </w:t>
      </w:r>
    </w:p>
    <w:p w:rsidR="002F6E1E" w:rsidRDefault="00915104" w:rsidP="002F6E1E">
      <w:pPr>
        <w:ind w:firstLine="720"/>
        <w:rPr>
          <w:rFonts w:ascii="Arial" w:hAnsi="Arial" w:cs="Arial"/>
          <w:color w:val="000000"/>
          <w:sz w:val="20"/>
          <w:szCs w:val="20"/>
        </w:rPr>
      </w:pPr>
      <w:r>
        <w:rPr>
          <w:rFonts w:ascii="Arial" w:hAnsi="Arial" w:cs="Arial"/>
          <w:sz w:val="20"/>
          <w:szCs w:val="20"/>
          <w:lang w:val="pt-BR"/>
        </w:rPr>
        <w:t>P</w:t>
      </w:r>
      <w:r w:rsidR="002F6E1E" w:rsidRPr="002F6E1E">
        <w:rPr>
          <w:rFonts w:ascii="Arial" w:hAnsi="Arial" w:cs="Arial"/>
          <w:sz w:val="20"/>
          <w:szCs w:val="20"/>
          <w:lang w:val="pt-BR"/>
        </w:rPr>
        <w:t xml:space="preserve">rofil proteinuria diperiksa dengan pemeriksaan tes </w:t>
      </w:r>
      <w:r w:rsidR="002F6E1E" w:rsidRPr="002F6E1E">
        <w:rPr>
          <w:rFonts w:ascii="Arial" w:hAnsi="Arial" w:cs="Arial"/>
          <w:i/>
          <w:sz w:val="20"/>
          <w:szCs w:val="20"/>
          <w:lang w:val="pt-BR"/>
        </w:rPr>
        <w:t>dipstick</w:t>
      </w:r>
      <w:r w:rsidR="002F6E1E" w:rsidRPr="002F6E1E">
        <w:rPr>
          <w:rFonts w:ascii="Arial" w:hAnsi="Arial" w:cs="Arial"/>
          <w:sz w:val="20"/>
          <w:szCs w:val="20"/>
          <w:lang w:val="pt-BR"/>
        </w:rPr>
        <w:t xml:space="preserve">. Hasil pemeriksaan dicatat dengan hasil sesuai interpretasi dari tes dipstick berupa negatif, samar-samar (trace), +1, +2, +3 dan +4. Proteinuria disebut positif jika hasil pemeriksaan urin </w:t>
      </w:r>
      <w:r w:rsidR="00ED31A4">
        <w:rPr>
          <w:rFonts w:ascii="Arial" w:hAnsi="Arial" w:cs="Arial"/>
          <w:color w:val="000000"/>
          <w:sz w:val="20"/>
          <w:szCs w:val="20"/>
        </w:rPr>
        <w:t>≥</w:t>
      </w:r>
      <w:r w:rsidR="002F6E1E" w:rsidRPr="002F6E1E">
        <w:rPr>
          <w:rFonts w:ascii="Arial" w:hAnsi="Arial" w:cs="Arial"/>
          <w:color w:val="000000"/>
          <w:sz w:val="20"/>
          <w:szCs w:val="20"/>
        </w:rPr>
        <w:t>+1(30mg/100ml) dan negatif bila hasil pemeriksaan dipstick urin</w:t>
      </w:r>
      <w:r w:rsidR="00ED31A4">
        <w:rPr>
          <w:rFonts w:ascii="Arial" w:hAnsi="Arial" w:cs="Arial"/>
          <w:color w:val="000000"/>
          <w:sz w:val="20"/>
          <w:szCs w:val="20"/>
        </w:rPr>
        <w:t xml:space="preserve"> &lt;</w:t>
      </w:r>
      <w:r w:rsidR="002F6E1E" w:rsidRPr="002F6E1E">
        <w:rPr>
          <w:rFonts w:ascii="Arial" w:hAnsi="Arial" w:cs="Arial"/>
          <w:color w:val="000000"/>
          <w:sz w:val="20"/>
          <w:szCs w:val="20"/>
        </w:rPr>
        <w:t>+1(30mg/100ml).</w:t>
      </w:r>
    </w:p>
    <w:p w:rsidR="00373451" w:rsidRPr="002F6E1E" w:rsidRDefault="00373451" w:rsidP="002F6E1E">
      <w:pPr>
        <w:ind w:firstLine="720"/>
        <w:rPr>
          <w:rFonts w:ascii="Arial" w:hAnsi="Arial" w:cs="Arial"/>
          <w:color w:val="000000"/>
          <w:sz w:val="20"/>
          <w:szCs w:val="20"/>
        </w:rPr>
      </w:pPr>
    </w:p>
    <w:p w:rsidR="00373451" w:rsidRPr="00373451" w:rsidRDefault="00373451" w:rsidP="00373451">
      <w:pPr>
        <w:rPr>
          <w:rFonts w:ascii="Arial" w:hAnsi="Arial" w:cs="Arial"/>
          <w:b/>
          <w:sz w:val="20"/>
          <w:szCs w:val="20"/>
          <w:lang w:val="pt-BR"/>
        </w:rPr>
      </w:pPr>
      <w:r w:rsidRPr="00373451">
        <w:rPr>
          <w:rFonts w:ascii="Arial" w:hAnsi="Arial" w:cs="Arial"/>
          <w:b/>
          <w:sz w:val="20"/>
          <w:szCs w:val="20"/>
          <w:lang w:val="pt-BR"/>
        </w:rPr>
        <w:t>Hasil Penelitian</w:t>
      </w:r>
    </w:p>
    <w:p w:rsidR="00373451" w:rsidRPr="00373451" w:rsidRDefault="00373451" w:rsidP="003E3799">
      <w:pPr>
        <w:ind w:firstLine="720"/>
        <w:rPr>
          <w:rFonts w:ascii="Arial" w:hAnsi="Arial" w:cs="Arial"/>
          <w:sz w:val="20"/>
          <w:szCs w:val="20"/>
        </w:rPr>
      </w:pPr>
      <w:r w:rsidRPr="00373451">
        <w:rPr>
          <w:rFonts w:ascii="Arial" w:hAnsi="Arial" w:cs="Arial"/>
          <w:sz w:val="20"/>
          <w:szCs w:val="20"/>
        </w:rPr>
        <w:t>Pada penelitian ini didapatkan sampel penelitian sejumlah 94 orang yang dibagi dalam dua kelompok yaitu 48 orang subyek penelitian prehipertensi dan hipertensi yang merokok dan 46 orang subyek penelitian prehipertensi dan hipertensi yang tidak merokok. Karakteristik subyek penelitian tampak pada tabel 1.</w:t>
      </w:r>
    </w:p>
    <w:p w:rsidR="004E0D22" w:rsidRPr="00E53FEF" w:rsidRDefault="00373451" w:rsidP="0093101C">
      <w:pPr>
        <w:spacing w:before="200" w:after="100" w:line="240" w:lineRule="auto"/>
        <w:rPr>
          <w:rFonts w:ascii="Arial" w:hAnsi="Arial" w:cs="Arial"/>
          <w:b/>
          <w:sz w:val="18"/>
          <w:szCs w:val="18"/>
          <w:lang w:val="pt-BR"/>
        </w:rPr>
      </w:pPr>
      <w:r w:rsidRPr="00E53FEF">
        <w:rPr>
          <w:rFonts w:ascii="Arial" w:hAnsi="Arial" w:cs="Arial"/>
          <w:b/>
          <w:sz w:val="18"/>
          <w:szCs w:val="18"/>
          <w:lang w:val="pt-BR"/>
        </w:rPr>
        <w:t>Tabel 1. Karakteristik Subyek Penelitian</w:t>
      </w:r>
    </w:p>
    <w:tbl>
      <w:tblPr>
        <w:tblStyle w:val="TableGrid"/>
        <w:tblW w:w="42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1372"/>
        <w:gridCol w:w="1626"/>
      </w:tblGrid>
      <w:tr w:rsidR="008A48AB" w:rsidRPr="00CE1681" w:rsidTr="00CE1681">
        <w:trPr>
          <w:trHeight w:val="394"/>
        </w:trPr>
        <w:tc>
          <w:tcPr>
            <w:tcW w:w="1274" w:type="dxa"/>
            <w:tcBorders>
              <w:top w:val="single" w:sz="4" w:space="0" w:color="auto"/>
              <w:bottom w:val="single" w:sz="4" w:space="0" w:color="auto"/>
            </w:tcBorders>
          </w:tcPr>
          <w:p w:rsidR="008A48AB" w:rsidRPr="00CE1681" w:rsidRDefault="008A48AB" w:rsidP="00656B2D">
            <w:pPr>
              <w:spacing w:line="240" w:lineRule="auto"/>
              <w:rPr>
                <w:rFonts w:ascii="Arial" w:hAnsi="Arial" w:cs="Arial"/>
                <w:b/>
                <w:sz w:val="16"/>
                <w:szCs w:val="16"/>
              </w:rPr>
            </w:pPr>
            <w:r w:rsidRPr="00CE1681">
              <w:rPr>
                <w:rFonts w:ascii="Arial" w:hAnsi="Arial" w:cs="Arial"/>
                <w:b/>
                <w:sz w:val="16"/>
                <w:szCs w:val="16"/>
              </w:rPr>
              <w:t>Karakteristik</w:t>
            </w:r>
          </w:p>
        </w:tc>
        <w:tc>
          <w:tcPr>
            <w:tcW w:w="1372" w:type="dxa"/>
            <w:tcBorders>
              <w:top w:val="single" w:sz="4" w:space="0" w:color="auto"/>
              <w:bottom w:val="single" w:sz="4" w:space="0" w:color="auto"/>
            </w:tcBorders>
          </w:tcPr>
          <w:p w:rsidR="008A48AB" w:rsidRPr="00CE1681" w:rsidRDefault="008A48AB" w:rsidP="00656B2D">
            <w:pPr>
              <w:spacing w:line="240" w:lineRule="auto"/>
              <w:jc w:val="center"/>
              <w:rPr>
                <w:rFonts w:ascii="Arial" w:hAnsi="Arial" w:cs="Arial"/>
                <w:b/>
                <w:sz w:val="16"/>
                <w:szCs w:val="16"/>
              </w:rPr>
            </w:pPr>
            <w:r w:rsidRPr="00CE1681">
              <w:rPr>
                <w:rFonts w:ascii="Arial" w:hAnsi="Arial" w:cs="Arial"/>
                <w:b/>
                <w:sz w:val="16"/>
                <w:szCs w:val="16"/>
              </w:rPr>
              <w:t>Perokok</w:t>
            </w:r>
          </w:p>
          <w:p w:rsidR="008A48AB" w:rsidRPr="00CE1681" w:rsidRDefault="008A48AB" w:rsidP="00656B2D">
            <w:pPr>
              <w:spacing w:line="240" w:lineRule="auto"/>
              <w:jc w:val="center"/>
              <w:rPr>
                <w:rFonts w:ascii="Arial" w:hAnsi="Arial" w:cs="Arial"/>
                <w:b/>
                <w:sz w:val="16"/>
                <w:szCs w:val="16"/>
              </w:rPr>
            </w:pPr>
            <w:r w:rsidRPr="00CE1681">
              <w:rPr>
                <w:rFonts w:ascii="Arial" w:hAnsi="Arial" w:cs="Arial"/>
                <w:b/>
                <w:sz w:val="16"/>
                <w:szCs w:val="16"/>
              </w:rPr>
              <w:t>(Rerata ±SD)</w:t>
            </w:r>
          </w:p>
        </w:tc>
        <w:tc>
          <w:tcPr>
            <w:tcW w:w="1625" w:type="dxa"/>
            <w:tcBorders>
              <w:top w:val="single" w:sz="4" w:space="0" w:color="auto"/>
              <w:bottom w:val="single" w:sz="4" w:space="0" w:color="auto"/>
            </w:tcBorders>
          </w:tcPr>
          <w:p w:rsidR="008A48AB" w:rsidRPr="00CE1681" w:rsidRDefault="008A48AB" w:rsidP="00656B2D">
            <w:pPr>
              <w:spacing w:line="240" w:lineRule="auto"/>
              <w:jc w:val="center"/>
              <w:rPr>
                <w:rFonts w:ascii="Arial" w:hAnsi="Arial" w:cs="Arial"/>
                <w:b/>
                <w:sz w:val="16"/>
                <w:szCs w:val="16"/>
              </w:rPr>
            </w:pPr>
            <w:r w:rsidRPr="00CE1681">
              <w:rPr>
                <w:rFonts w:ascii="Arial" w:hAnsi="Arial" w:cs="Arial"/>
                <w:b/>
                <w:sz w:val="16"/>
                <w:szCs w:val="16"/>
              </w:rPr>
              <w:t>Bukan Perokok</w:t>
            </w:r>
          </w:p>
          <w:p w:rsidR="008A48AB" w:rsidRPr="00CE1681" w:rsidRDefault="008A48AB" w:rsidP="00656B2D">
            <w:pPr>
              <w:spacing w:line="240" w:lineRule="auto"/>
              <w:jc w:val="center"/>
              <w:rPr>
                <w:rFonts w:ascii="Arial" w:hAnsi="Arial" w:cs="Arial"/>
                <w:b/>
                <w:sz w:val="16"/>
                <w:szCs w:val="16"/>
              </w:rPr>
            </w:pPr>
            <w:r w:rsidRPr="00CE1681">
              <w:rPr>
                <w:rFonts w:ascii="Arial" w:hAnsi="Arial" w:cs="Arial"/>
                <w:b/>
                <w:sz w:val="16"/>
                <w:szCs w:val="16"/>
              </w:rPr>
              <w:t>(Rerata ±SD)</w:t>
            </w:r>
          </w:p>
        </w:tc>
      </w:tr>
      <w:tr w:rsidR="008A48AB" w:rsidRPr="00CE1681" w:rsidTr="00CE1681">
        <w:trPr>
          <w:trHeight w:val="315"/>
        </w:trPr>
        <w:tc>
          <w:tcPr>
            <w:tcW w:w="1274" w:type="dxa"/>
            <w:tcBorders>
              <w:top w:val="single" w:sz="4" w:space="0" w:color="auto"/>
            </w:tcBorders>
          </w:tcPr>
          <w:p w:rsidR="008A48AB" w:rsidRPr="00CE1681" w:rsidRDefault="008A48AB" w:rsidP="00656B2D">
            <w:pPr>
              <w:spacing w:line="240" w:lineRule="auto"/>
              <w:rPr>
                <w:rFonts w:ascii="Arial" w:hAnsi="Arial" w:cs="Arial"/>
                <w:sz w:val="16"/>
                <w:szCs w:val="16"/>
              </w:rPr>
            </w:pPr>
            <w:r w:rsidRPr="00CE1681">
              <w:rPr>
                <w:rFonts w:ascii="Arial" w:hAnsi="Arial" w:cs="Arial"/>
                <w:sz w:val="16"/>
                <w:szCs w:val="16"/>
              </w:rPr>
              <w:t>Usia</w:t>
            </w:r>
          </w:p>
        </w:tc>
        <w:tc>
          <w:tcPr>
            <w:tcW w:w="1372" w:type="dxa"/>
            <w:tcBorders>
              <w:top w:val="single" w:sz="4" w:space="0" w:color="auto"/>
            </w:tcBorders>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22.08 ±1.75</w:t>
            </w:r>
          </w:p>
        </w:tc>
        <w:tc>
          <w:tcPr>
            <w:tcW w:w="1625" w:type="dxa"/>
            <w:tcBorders>
              <w:top w:val="single" w:sz="4" w:space="0" w:color="auto"/>
            </w:tcBorders>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21.28 ± 1.34</w:t>
            </w:r>
          </w:p>
        </w:tc>
      </w:tr>
      <w:tr w:rsidR="008A48AB" w:rsidRPr="00CE1681" w:rsidTr="00CE1681">
        <w:trPr>
          <w:trHeight w:val="304"/>
        </w:trPr>
        <w:tc>
          <w:tcPr>
            <w:tcW w:w="1274" w:type="dxa"/>
          </w:tcPr>
          <w:p w:rsidR="008A48AB" w:rsidRPr="00CE1681" w:rsidRDefault="008A48AB" w:rsidP="00656B2D">
            <w:pPr>
              <w:spacing w:line="240" w:lineRule="auto"/>
              <w:rPr>
                <w:rFonts w:ascii="Arial" w:hAnsi="Arial" w:cs="Arial"/>
                <w:sz w:val="16"/>
                <w:szCs w:val="16"/>
              </w:rPr>
            </w:pPr>
            <w:r w:rsidRPr="00CE1681">
              <w:rPr>
                <w:rFonts w:ascii="Arial" w:hAnsi="Arial" w:cs="Arial"/>
                <w:sz w:val="16"/>
                <w:szCs w:val="16"/>
              </w:rPr>
              <w:t>Prehipertensi</w:t>
            </w:r>
          </w:p>
        </w:tc>
        <w:tc>
          <w:tcPr>
            <w:tcW w:w="1372" w:type="dxa"/>
          </w:tcPr>
          <w:p w:rsidR="008A48AB" w:rsidRPr="00CE1681" w:rsidRDefault="008A48AB" w:rsidP="00656B2D">
            <w:pPr>
              <w:spacing w:line="240" w:lineRule="auto"/>
              <w:rPr>
                <w:rFonts w:ascii="Arial" w:hAnsi="Arial" w:cs="Arial"/>
                <w:sz w:val="16"/>
                <w:szCs w:val="16"/>
              </w:rPr>
            </w:pPr>
          </w:p>
        </w:tc>
        <w:tc>
          <w:tcPr>
            <w:tcW w:w="1625" w:type="dxa"/>
          </w:tcPr>
          <w:p w:rsidR="008A48AB" w:rsidRPr="00CE1681" w:rsidRDefault="008A48AB" w:rsidP="00656B2D">
            <w:pPr>
              <w:spacing w:line="240" w:lineRule="auto"/>
              <w:rPr>
                <w:rFonts w:ascii="Arial" w:hAnsi="Arial" w:cs="Arial"/>
                <w:sz w:val="16"/>
                <w:szCs w:val="16"/>
              </w:rPr>
            </w:pPr>
          </w:p>
        </w:tc>
      </w:tr>
      <w:tr w:rsidR="008A48AB" w:rsidRPr="00CE1681" w:rsidTr="00CE1681">
        <w:trPr>
          <w:trHeight w:val="315"/>
        </w:trPr>
        <w:tc>
          <w:tcPr>
            <w:tcW w:w="1274" w:type="dxa"/>
          </w:tcPr>
          <w:p w:rsidR="008A48AB" w:rsidRPr="00CE1681" w:rsidRDefault="008A48AB" w:rsidP="00656B2D">
            <w:pPr>
              <w:spacing w:line="240" w:lineRule="auto"/>
              <w:ind w:firstLine="252"/>
              <w:rPr>
                <w:rFonts w:ascii="Arial" w:hAnsi="Arial" w:cs="Arial"/>
                <w:sz w:val="16"/>
                <w:szCs w:val="16"/>
              </w:rPr>
            </w:pPr>
            <w:r w:rsidRPr="00CE1681">
              <w:rPr>
                <w:rFonts w:ascii="Arial" w:hAnsi="Arial" w:cs="Arial"/>
                <w:sz w:val="16"/>
                <w:szCs w:val="16"/>
              </w:rPr>
              <w:t>Sistolik</w:t>
            </w:r>
          </w:p>
        </w:tc>
        <w:tc>
          <w:tcPr>
            <w:tcW w:w="1372"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130.18± 5.02</w:t>
            </w:r>
          </w:p>
        </w:tc>
        <w:tc>
          <w:tcPr>
            <w:tcW w:w="1625"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129.13 ± 4.75</w:t>
            </w:r>
          </w:p>
        </w:tc>
      </w:tr>
      <w:tr w:rsidR="008A48AB" w:rsidRPr="00CE1681" w:rsidTr="00CE1681">
        <w:trPr>
          <w:trHeight w:val="304"/>
        </w:trPr>
        <w:tc>
          <w:tcPr>
            <w:tcW w:w="1274" w:type="dxa"/>
          </w:tcPr>
          <w:p w:rsidR="008A48AB" w:rsidRPr="00CE1681" w:rsidRDefault="008A48AB" w:rsidP="00656B2D">
            <w:pPr>
              <w:spacing w:line="240" w:lineRule="auto"/>
              <w:ind w:firstLine="252"/>
              <w:rPr>
                <w:rFonts w:ascii="Arial" w:hAnsi="Arial" w:cs="Arial"/>
                <w:sz w:val="16"/>
                <w:szCs w:val="16"/>
              </w:rPr>
            </w:pPr>
            <w:r w:rsidRPr="00CE1681">
              <w:rPr>
                <w:rFonts w:ascii="Arial" w:hAnsi="Arial" w:cs="Arial"/>
                <w:sz w:val="16"/>
                <w:szCs w:val="16"/>
              </w:rPr>
              <w:t>Diastolik</w:t>
            </w:r>
          </w:p>
        </w:tc>
        <w:tc>
          <w:tcPr>
            <w:tcW w:w="1372"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80 ± 7.3</w:t>
            </w:r>
          </w:p>
        </w:tc>
        <w:tc>
          <w:tcPr>
            <w:tcW w:w="1625"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80.39 ± 6.54</w:t>
            </w:r>
          </w:p>
        </w:tc>
      </w:tr>
      <w:tr w:rsidR="008A48AB" w:rsidRPr="00CE1681" w:rsidTr="00CE1681">
        <w:trPr>
          <w:trHeight w:val="315"/>
        </w:trPr>
        <w:tc>
          <w:tcPr>
            <w:tcW w:w="4272" w:type="dxa"/>
            <w:gridSpan w:val="3"/>
          </w:tcPr>
          <w:p w:rsidR="008A48AB" w:rsidRPr="00CE1681" w:rsidRDefault="008A48AB" w:rsidP="00656B2D">
            <w:pPr>
              <w:spacing w:line="240" w:lineRule="auto"/>
              <w:rPr>
                <w:rFonts w:ascii="Arial" w:hAnsi="Arial" w:cs="Arial"/>
                <w:sz w:val="16"/>
                <w:szCs w:val="16"/>
              </w:rPr>
            </w:pPr>
            <w:r w:rsidRPr="00CE1681">
              <w:rPr>
                <w:rFonts w:ascii="Arial" w:hAnsi="Arial" w:cs="Arial"/>
                <w:sz w:val="16"/>
                <w:szCs w:val="16"/>
              </w:rPr>
              <w:t>Hipertensi Derajat 1</w:t>
            </w:r>
          </w:p>
        </w:tc>
      </w:tr>
      <w:tr w:rsidR="008A48AB" w:rsidRPr="00CE1681" w:rsidTr="00CE1681">
        <w:trPr>
          <w:trHeight w:val="304"/>
        </w:trPr>
        <w:tc>
          <w:tcPr>
            <w:tcW w:w="1274" w:type="dxa"/>
          </w:tcPr>
          <w:p w:rsidR="008A48AB" w:rsidRPr="00CE1681" w:rsidRDefault="008A48AB" w:rsidP="00656B2D">
            <w:pPr>
              <w:spacing w:line="240" w:lineRule="auto"/>
              <w:ind w:firstLine="252"/>
              <w:rPr>
                <w:rFonts w:ascii="Arial" w:hAnsi="Arial" w:cs="Arial"/>
                <w:sz w:val="16"/>
                <w:szCs w:val="16"/>
              </w:rPr>
            </w:pPr>
            <w:r w:rsidRPr="00CE1681">
              <w:rPr>
                <w:rFonts w:ascii="Arial" w:hAnsi="Arial" w:cs="Arial"/>
                <w:sz w:val="16"/>
                <w:szCs w:val="16"/>
              </w:rPr>
              <w:t>Sistolik</w:t>
            </w:r>
          </w:p>
        </w:tc>
        <w:tc>
          <w:tcPr>
            <w:tcW w:w="1372"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141 ± 3.83</w:t>
            </w:r>
          </w:p>
        </w:tc>
        <w:tc>
          <w:tcPr>
            <w:tcW w:w="1625"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138.62 ± 5.83</w:t>
            </w:r>
          </w:p>
        </w:tc>
      </w:tr>
      <w:tr w:rsidR="008A48AB" w:rsidRPr="00CE1681" w:rsidTr="00CE1681">
        <w:trPr>
          <w:trHeight w:val="104"/>
        </w:trPr>
        <w:tc>
          <w:tcPr>
            <w:tcW w:w="1274" w:type="dxa"/>
          </w:tcPr>
          <w:p w:rsidR="008A48AB" w:rsidRPr="00CE1681" w:rsidRDefault="008A48AB" w:rsidP="00656B2D">
            <w:pPr>
              <w:spacing w:line="240" w:lineRule="auto"/>
              <w:ind w:firstLine="252"/>
              <w:rPr>
                <w:rFonts w:ascii="Arial" w:hAnsi="Arial" w:cs="Arial"/>
                <w:sz w:val="16"/>
                <w:szCs w:val="16"/>
              </w:rPr>
            </w:pPr>
            <w:r w:rsidRPr="00CE1681">
              <w:rPr>
                <w:rFonts w:ascii="Arial" w:hAnsi="Arial" w:cs="Arial"/>
                <w:sz w:val="16"/>
                <w:szCs w:val="16"/>
              </w:rPr>
              <w:t>Diastolik</w:t>
            </w:r>
          </w:p>
        </w:tc>
        <w:tc>
          <w:tcPr>
            <w:tcW w:w="1372"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91.9 ± 2.42</w:t>
            </w:r>
          </w:p>
        </w:tc>
        <w:tc>
          <w:tcPr>
            <w:tcW w:w="1625" w:type="dxa"/>
          </w:tcPr>
          <w:p w:rsidR="008A48AB" w:rsidRPr="00CE1681" w:rsidRDefault="008A48AB" w:rsidP="00656B2D">
            <w:pPr>
              <w:spacing w:line="240" w:lineRule="auto"/>
              <w:jc w:val="center"/>
              <w:rPr>
                <w:rFonts w:ascii="Arial" w:hAnsi="Arial" w:cs="Arial"/>
                <w:sz w:val="16"/>
                <w:szCs w:val="16"/>
              </w:rPr>
            </w:pPr>
            <w:r w:rsidRPr="00CE1681">
              <w:rPr>
                <w:rFonts w:ascii="Arial" w:hAnsi="Arial" w:cs="Arial"/>
                <w:sz w:val="16"/>
                <w:szCs w:val="16"/>
              </w:rPr>
              <w:t>92.37 ± 2.33</w:t>
            </w:r>
          </w:p>
        </w:tc>
      </w:tr>
    </w:tbl>
    <w:p w:rsidR="00373451" w:rsidRDefault="008A48AB" w:rsidP="003E3799">
      <w:pPr>
        <w:spacing w:before="200"/>
        <w:ind w:firstLine="720"/>
        <w:rPr>
          <w:rFonts w:ascii="Arial" w:hAnsi="Arial" w:cs="Arial"/>
          <w:sz w:val="20"/>
          <w:szCs w:val="20"/>
          <w:lang w:val="pt-BR"/>
        </w:rPr>
      </w:pPr>
      <w:r w:rsidRPr="008A48AB">
        <w:rPr>
          <w:rFonts w:ascii="Arial" w:hAnsi="Arial" w:cs="Arial"/>
          <w:sz w:val="20"/>
          <w:szCs w:val="20"/>
        </w:rPr>
        <w:t>Berdasarkan tabel 1 tampak  bahwa rerata umur subyek penelitian perokok yaitu 22,08 ±1,75 tahun dan subyek bukan perokok  yaitu 21,28 ± 1,34 tahun. Rerata tekanan darah pada subyek perokok dengan prehipertensi yaitu 130,18 ± 5,02 mmHg untuk tekanan sistolik dan 80 ± 7,30 mmHg untuk tekanan diastolik. Rerata tekanan darah pada subyek perokok dengan hipertensi derajat 1 yaitu 141 ± 3,83 mmHg untuk tekanan sistolik dan 91,9 ± 2,42 mmHg untuk tekanan diastolik. Subyek bukan perokok dengan prehipertensi didapatkan tekanan darah sistolik sebesar 129 ± 4.75 mmHg dan 80,39 ± 6.54 mmHg untuk tekanan diastolik. Rerata tekanan darah pada subyek bukan perokok dengan hipertensi derajat 1 didapatkan sebesar 138.62 ± 5.83 mmHg untuk tekanan sistolik dan 92.37 ± 2.33 untuk tekanan diastolik. Penelitian ini tidak didapatkan subyek perokok atau bukan perokok dengan hipertensi derajat 2</w:t>
      </w:r>
      <w:r>
        <w:rPr>
          <w:rFonts w:ascii="Arial" w:hAnsi="Arial" w:cs="Arial"/>
          <w:sz w:val="20"/>
          <w:szCs w:val="20"/>
        </w:rPr>
        <w:t>.</w:t>
      </w:r>
    </w:p>
    <w:p w:rsidR="008A48AB" w:rsidRDefault="008A48AB" w:rsidP="00683F4F">
      <w:pPr>
        <w:rPr>
          <w:rFonts w:ascii="Arial" w:hAnsi="Arial" w:cs="Arial"/>
          <w:sz w:val="20"/>
          <w:szCs w:val="20"/>
          <w:lang w:val="pt-BR"/>
        </w:rPr>
      </w:pPr>
    </w:p>
    <w:p w:rsidR="008A48AB" w:rsidRDefault="008A48AB" w:rsidP="00683F4F">
      <w:pPr>
        <w:rPr>
          <w:rFonts w:ascii="Arial" w:hAnsi="Arial" w:cs="Arial"/>
          <w:sz w:val="20"/>
          <w:szCs w:val="20"/>
          <w:lang w:val="pt-BR"/>
        </w:rPr>
      </w:pPr>
    </w:p>
    <w:p w:rsidR="00CE1681" w:rsidRDefault="00CE1681" w:rsidP="00683F4F">
      <w:pPr>
        <w:rPr>
          <w:rFonts w:ascii="Arial" w:hAnsi="Arial" w:cs="Arial"/>
          <w:b/>
          <w:sz w:val="18"/>
          <w:szCs w:val="18"/>
          <w:lang w:val="pt-BR"/>
        </w:rPr>
      </w:pPr>
    </w:p>
    <w:p w:rsidR="00CE1681" w:rsidRDefault="00CE1681" w:rsidP="00683F4F">
      <w:pPr>
        <w:rPr>
          <w:rFonts w:ascii="Arial" w:hAnsi="Arial" w:cs="Arial"/>
          <w:b/>
          <w:sz w:val="18"/>
          <w:szCs w:val="18"/>
          <w:lang w:val="pt-BR"/>
        </w:rPr>
      </w:pPr>
    </w:p>
    <w:p w:rsidR="00656B2D" w:rsidRDefault="00656B2D" w:rsidP="00683F4F">
      <w:pPr>
        <w:rPr>
          <w:rFonts w:ascii="Arial" w:hAnsi="Arial" w:cs="Arial"/>
          <w:b/>
          <w:sz w:val="18"/>
          <w:szCs w:val="18"/>
          <w:lang w:val="pt-BR"/>
        </w:rPr>
      </w:pPr>
    </w:p>
    <w:p w:rsidR="008A48AB" w:rsidRPr="00E53FEF" w:rsidRDefault="008A48AB" w:rsidP="0093101C">
      <w:pPr>
        <w:spacing w:after="100" w:line="240" w:lineRule="auto"/>
        <w:rPr>
          <w:rFonts w:ascii="Arial" w:hAnsi="Arial" w:cs="Arial"/>
          <w:b/>
          <w:sz w:val="18"/>
          <w:szCs w:val="18"/>
          <w:lang w:val="pt-BR"/>
        </w:rPr>
      </w:pPr>
      <w:r w:rsidRPr="00E53FEF">
        <w:rPr>
          <w:rFonts w:ascii="Arial" w:hAnsi="Arial" w:cs="Arial"/>
          <w:b/>
          <w:sz w:val="18"/>
          <w:szCs w:val="18"/>
          <w:lang w:val="pt-BR"/>
        </w:rPr>
        <w:t>Tabel 2. Distribusi Tekanan Darah Subyek Penelitian</w:t>
      </w:r>
    </w:p>
    <w:tbl>
      <w:tblPr>
        <w:tblStyle w:val="TableGrid"/>
        <w:tblW w:w="45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134"/>
        <w:gridCol w:w="1212"/>
        <w:gridCol w:w="943"/>
      </w:tblGrid>
      <w:tr w:rsidR="008A48AB" w:rsidRPr="008A48AB" w:rsidTr="00D6588D">
        <w:trPr>
          <w:trHeight w:val="204"/>
          <w:jc w:val="center"/>
        </w:trPr>
        <w:tc>
          <w:tcPr>
            <w:tcW w:w="1285" w:type="dxa"/>
            <w:vMerge w:val="restart"/>
            <w:tcBorders>
              <w:top w:val="single" w:sz="4" w:space="0" w:color="auto"/>
              <w:bottom w:val="nil"/>
            </w:tcBorders>
          </w:tcPr>
          <w:p w:rsidR="008A48AB" w:rsidRPr="008A48AB" w:rsidRDefault="008A48AB" w:rsidP="00656B2D">
            <w:pPr>
              <w:spacing w:line="240" w:lineRule="auto"/>
              <w:rPr>
                <w:rFonts w:ascii="Arial" w:hAnsi="Arial" w:cs="Arial"/>
                <w:b/>
                <w:sz w:val="18"/>
                <w:szCs w:val="18"/>
              </w:rPr>
            </w:pPr>
            <w:r w:rsidRPr="008A48AB">
              <w:rPr>
                <w:rFonts w:ascii="Arial" w:hAnsi="Arial" w:cs="Arial"/>
                <w:b/>
                <w:sz w:val="18"/>
                <w:szCs w:val="18"/>
              </w:rPr>
              <w:t>Tekanan Darah</w:t>
            </w:r>
          </w:p>
        </w:tc>
        <w:tc>
          <w:tcPr>
            <w:tcW w:w="2346" w:type="dxa"/>
            <w:gridSpan w:val="2"/>
            <w:tcBorders>
              <w:top w:val="single" w:sz="4" w:space="0" w:color="auto"/>
              <w:bottom w:val="nil"/>
            </w:tcBorders>
          </w:tcPr>
          <w:p w:rsidR="008A48AB" w:rsidRPr="008A48AB" w:rsidRDefault="008A48AB" w:rsidP="00656B2D">
            <w:pPr>
              <w:spacing w:line="240" w:lineRule="auto"/>
              <w:jc w:val="center"/>
              <w:rPr>
                <w:rFonts w:ascii="Arial" w:hAnsi="Arial" w:cs="Arial"/>
                <w:b/>
                <w:sz w:val="18"/>
                <w:szCs w:val="18"/>
              </w:rPr>
            </w:pPr>
            <w:r w:rsidRPr="008A48AB">
              <w:rPr>
                <w:rFonts w:ascii="Arial" w:hAnsi="Arial" w:cs="Arial"/>
                <w:b/>
                <w:sz w:val="18"/>
                <w:szCs w:val="18"/>
              </w:rPr>
              <w:t>Jumlah Subyek (%)</w:t>
            </w:r>
          </w:p>
        </w:tc>
        <w:tc>
          <w:tcPr>
            <w:tcW w:w="943" w:type="dxa"/>
            <w:tcBorders>
              <w:top w:val="single" w:sz="4" w:space="0" w:color="auto"/>
              <w:bottom w:val="nil"/>
            </w:tcBorders>
          </w:tcPr>
          <w:p w:rsidR="008A48AB" w:rsidRPr="008A48AB" w:rsidRDefault="008A48AB" w:rsidP="00656B2D">
            <w:pPr>
              <w:spacing w:line="240" w:lineRule="auto"/>
              <w:rPr>
                <w:rFonts w:ascii="Arial" w:hAnsi="Arial" w:cs="Arial"/>
                <w:b/>
                <w:sz w:val="18"/>
                <w:szCs w:val="18"/>
              </w:rPr>
            </w:pPr>
            <w:r w:rsidRPr="008A48AB">
              <w:rPr>
                <w:rFonts w:ascii="Arial" w:hAnsi="Arial" w:cs="Arial"/>
                <w:b/>
                <w:sz w:val="18"/>
                <w:szCs w:val="18"/>
              </w:rPr>
              <w:t>Jumlah</w:t>
            </w:r>
          </w:p>
        </w:tc>
      </w:tr>
      <w:tr w:rsidR="008A48AB" w:rsidRPr="008A48AB" w:rsidTr="008A48AB">
        <w:trPr>
          <w:trHeight w:val="223"/>
          <w:jc w:val="center"/>
        </w:trPr>
        <w:tc>
          <w:tcPr>
            <w:tcW w:w="1285" w:type="dxa"/>
            <w:vMerge/>
            <w:tcBorders>
              <w:top w:val="nil"/>
              <w:bottom w:val="single" w:sz="4" w:space="0" w:color="auto"/>
            </w:tcBorders>
          </w:tcPr>
          <w:p w:rsidR="008A48AB" w:rsidRPr="008A48AB" w:rsidRDefault="008A48AB" w:rsidP="00656B2D">
            <w:pPr>
              <w:spacing w:line="240" w:lineRule="auto"/>
              <w:rPr>
                <w:rFonts w:ascii="Arial" w:hAnsi="Arial" w:cs="Arial"/>
                <w:b/>
                <w:sz w:val="18"/>
                <w:szCs w:val="18"/>
              </w:rPr>
            </w:pPr>
          </w:p>
        </w:tc>
        <w:tc>
          <w:tcPr>
            <w:tcW w:w="1134" w:type="dxa"/>
            <w:tcBorders>
              <w:top w:val="nil"/>
              <w:bottom w:val="single" w:sz="4" w:space="0" w:color="auto"/>
            </w:tcBorders>
          </w:tcPr>
          <w:p w:rsidR="008A48AB" w:rsidRPr="008A48AB" w:rsidRDefault="008A48AB" w:rsidP="00656B2D">
            <w:pPr>
              <w:spacing w:line="240" w:lineRule="auto"/>
              <w:jc w:val="center"/>
              <w:rPr>
                <w:rFonts w:ascii="Arial" w:hAnsi="Arial" w:cs="Arial"/>
                <w:b/>
                <w:sz w:val="18"/>
                <w:szCs w:val="18"/>
              </w:rPr>
            </w:pPr>
            <w:r w:rsidRPr="008A48AB">
              <w:rPr>
                <w:rFonts w:ascii="Arial" w:hAnsi="Arial" w:cs="Arial"/>
                <w:b/>
                <w:sz w:val="18"/>
                <w:szCs w:val="18"/>
              </w:rPr>
              <w:t>Perokok</w:t>
            </w:r>
          </w:p>
        </w:tc>
        <w:tc>
          <w:tcPr>
            <w:tcW w:w="1212" w:type="dxa"/>
            <w:tcBorders>
              <w:top w:val="nil"/>
              <w:bottom w:val="single" w:sz="4" w:space="0" w:color="auto"/>
            </w:tcBorders>
          </w:tcPr>
          <w:p w:rsidR="008A48AB" w:rsidRPr="008A48AB" w:rsidRDefault="008A48AB" w:rsidP="00656B2D">
            <w:pPr>
              <w:spacing w:line="240" w:lineRule="auto"/>
              <w:jc w:val="center"/>
              <w:rPr>
                <w:rFonts w:ascii="Arial" w:hAnsi="Arial" w:cs="Arial"/>
                <w:b/>
                <w:sz w:val="18"/>
                <w:szCs w:val="18"/>
              </w:rPr>
            </w:pPr>
            <w:r w:rsidRPr="008A48AB">
              <w:rPr>
                <w:rFonts w:ascii="Arial" w:hAnsi="Arial" w:cs="Arial"/>
                <w:b/>
                <w:sz w:val="18"/>
                <w:szCs w:val="18"/>
              </w:rPr>
              <w:t>Bukan Perokok</w:t>
            </w:r>
          </w:p>
        </w:tc>
        <w:tc>
          <w:tcPr>
            <w:tcW w:w="943" w:type="dxa"/>
            <w:tcBorders>
              <w:top w:val="nil"/>
              <w:bottom w:val="single" w:sz="4" w:space="0" w:color="auto"/>
            </w:tcBorders>
          </w:tcPr>
          <w:p w:rsidR="008A48AB" w:rsidRPr="008A48AB" w:rsidRDefault="008A48AB" w:rsidP="00656B2D">
            <w:pPr>
              <w:spacing w:line="240" w:lineRule="auto"/>
              <w:rPr>
                <w:rFonts w:ascii="Arial" w:hAnsi="Arial" w:cs="Arial"/>
                <w:b/>
                <w:sz w:val="18"/>
                <w:szCs w:val="18"/>
              </w:rPr>
            </w:pPr>
          </w:p>
        </w:tc>
      </w:tr>
      <w:tr w:rsidR="008A48AB" w:rsidRPr="008A48AB" w:rsidTr="008A48AB">
        <w:trPr>
          <w:trHeight w:val="298"/>
          <w:jc w:val="center"/>
        </w:trPr>
        <w:tc>
          <w:tcPr>
            <w:tcW w:w="1285" w:type="dxa"/>
            <w:tcBorders>
              <w:top w:val="single" w:sz="4" w:space="0" w:color="auto"/>
            </w:tcBorders>
          </w:tcPr>
          <w:p w:rsidR="008A48AB" w:rsidRPr="008A48AB" w:rsidRDefault="008A48AB" w:rsidP="00656B2D">
            <w:pPr>
              <w:spacing w:line="240" w:lineRule="auto"/>
              <w:rPr>
                <w:rFonts w:ascii="Arial" w:hAnsi="Arial" w:cs="Arial"/>
                <w:sz w:val="18"/>
                <w:szCs w:val="18"/>
              </w:rPr>
            </w:pPr>
            <w:r w:rsidRPr="008A48AB">
              <w:rPr>
                <w:rFonts w:ascii="Arial" w:hAnsi="Arial" w:cs="Arial"/>
                <w:sz w:val="18"/>
                <w:szCs w:val="18"/>
              </w:rPr>
              <w:t>Prehipertensi</w:t>
            </w:r>
          </w:p>
        </w:tc>
        <w:tc>
          <w:tcPr>
            <w:tcW w:w="1134" w:type="dxa"/>
            <w:tcBorders>
              <w:top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39 (81,2)</w:t>
            </w:r>
          </w:p>
        </w:tc>
        <w:tc>
          <w:tcPr>
            <w:tcW w:w="1212" w:type="dxa"/>
            <w:tcBorders>
              <w:top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38 (82,6)</w:t>
            </w:r>
          </w:p>
        </w:tc>
        <w:tc>
          <w:tcPr>
            <w:tcW w:w="943" w:type="dxa"/>
            <w:tcBorders>
              <w:top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77 (81,9)</w:t>
            </w:r>
          </w:p>
        </w:tc>
      </w:tr>
      <w:tr w:rsidR="008A48AB" w:rsidRPr="008A48AB" w:rsidTr="008A48AB">
        <w:trPr>
          <w:trHeight w:val="366"/>
          <w:jc w:val="center"/>
        </w:trPr>
        <w:tc>
          <w:tcPr>
            <w:tcW w:w="1285" w:type="dxa"/>
          </w:tcPr>
          <w:p w:rsidR="008A48AB" w:rsidRPr="008A48AB" w:rsidRDefault="008A48AB" w:rsidP="00656B2D">
            <w:pPr>
              <w:spacing w:line="240" w:lineRule="auto"/>
              <w:rPr>
                <w:rFonts w:ascii="Arial" w:hAnsi="Arial" w:cs="Arial"/>
                <w:sz w:val="18"/>
                <w:szCs w:val="18"/>
              </w:rPr>
            </w:pPr>
            <w:r w:rsidRPr="008A48AB">
              <w:rPr>
                <w:rFonts w:ascii="Arial" w:hAnsi="Arial" w:cs="Arial"/>
                <w:sz w:val="18"/>
                <w:szCs w:val="18"/>
              </w:rPr>
              <w:t>Hipertensi Derajat 1</w:t>
            </w:r>
          </w:p>
        </w:tc>
        <w:tc>
          <w:tcPr>
            <w:tcW w:w="1134" w:type="dxa"/>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9 (18,8)</w:t>
            </w:r>
          </w:p>
        </w:tc>
        <w:tc>
          <w:tcPr>
            <w:tcW w:w="1212" w:type="dxa"/>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8 (17,4)</w:t>
            </w:r>
          </w:p>
        </w:tc>
        <w:tc>
          <w:tcPr>
            <w:tcW w:w="943" w:type="dxa"/>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17 (18,1)</w:t>
            </w:r>
          </w:p>
        </w:tc>
      </w:tr>
      <w:tr w:rsidR="008A48AB" w:rsidRPr="008A48AB" w:rsidTr="008A48AB">
        <w:trPr>
          <w:trHeight w:val="305"/>
          <w:jc w:val="center"/>
        </w:trPr>
        <w:tc>
          <w:tcPr>
            <w:tcW w:w="1285" w:type="dxa"/>
            <w:tcBorders>
              <w:bottom w:val="single" w:sz="4" w:space="0" w:color="auto"/>
            </w:tcBorders>
          </w:tcPr>
          <w:p w:rsidR="008A48AB" w:rsidRPr="008A48AB" w:rsidRDefault="008A48AB" w:rsidP="00656B2D">
            <w:pPr>
              <w:spacing w:line="240" w:lineRule="auto"/>
              <w:rPr>
                <w:rFonts w:ascii="Arial" w:hAnsi="Arial" w:cs="Arial"/>
                <w:sz w:val="18"/>
                <w:szCs w:val="18"/>
              </w:rPr>
            </w:pPr>
            <w:r w:rsidRPr="008A48AB">
              <w:rPr>
                <w:rFonts w:ascii="Arial" w:hAnsi="Arial" w:cs="Arial"/>
                <w:sz w:val="18"/>
                <w:szCs w:val="18"/>
              </w:rPr>
              <w:t>Hipertensi Derajat 2</w:t>
            </w:r>
          </w:p>
        </w:tc>
        <w:tc>
          <w:tcPr>
            <w:tcW w:w="1134" w:type="dxa"/>
            <w:tcBorders>
              <w:bottom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0</w:t>
            </w:r>
          </w:p>
        </w:tc>
        <w:tc>
          <w:tcPr>
            <w:tcW w:w="1212" w:type="dxa"/>
            <w:tcBorders>
              <w:bottom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0</w:t>
            </w:r>
          </w:p>
        </w:tc>
        <w:tc>
          <w:tcPr>
            <w:tcW w:w="943" w:type="dxa"/>
            <w:tcBorders>
              <w:bottom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0</w:t>
            </w:r>
          </w:p>
        </w:tc>
      </w:tr>
      <w:tr w:rsidR="008A48AB" w:rsidRPr="008A48AB" w:rsidTr="008A48AB">
        <w:trPr>
          <w:trHeight w:val="222"/>
          <w:jc w:val="center"/>
        </w:trPr>
        <w:tc>
          <w:tcPr>
            <w:tcW w:w="1285" w:type="dxa"/>
            <w:tcBorders>
              <w:top w:val="single" w:sz="4" w:space="0" w:color="auto"/>
              <w:bottom w:val="single" w:sz="4" w:space="0" w:color="auto"/>
            </w:tcBorders>
          </w:tcPr>
          <w:p w:rsidR="008A48AB" w:rsidRPr="008A48AB" w:rsidRDefault="008A48AB" w:rsidP="00656B2D">
            <w:pPr>
              <w:spacing w:line="240" w:lineRule="auto"/>
              <w:rPr>
                <w:rFonts w:ascii="Arial" w:hAnsi="Arial" w:cs="Arial"/>
                <w:sz w:val="18"/>
                <w:szCs w:val="18"/>
              </w:rPr>
            </w:pPr>
            <w:r w:rsidRPr="008A48AB">
              <w:rPr>
                <w:rFonts w:ascii="Arial" w:hAnsi="Arial" w:cs="Arial"/>
                <w:sz w:val="18"/>
                <w:szCs w:val="18"/>
              </w:rPr>
              <w:t>Total</w:t>
            </w:r>
          </w:p>
        </w:tc>
        <w:tc>
          <w:tcPr>
            <w:tcW w:w="1134" w:type="dxa"/>
            <w:tcBorders>
              <w:top w:val="single" w:sz="4" w:space="0" w:color="auto"/>
              <w:bottom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48 (51,1)</w:t>
            </w:r>
          </w:p>
        </w:tc>
        <w:tc>
          <w:tcPr>
            <w:tcW w:w="1212" w:type="dxa"/>
            <w:tcBorders>
              <w:top w:val="single" w:sz="4" w:space="0" w:color="auto"/>
              <w:bottom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46 (48,9)</w:t>
            </w:r>
          </w:p>
        </w:tc>
        <w:tc>
          <w:tcPr>
            <w:tcW w:w="943" w:type="dxa"/>
            <w:tcBorders>
              <w:top w:val="single" w:sz="4" w:space="0" w:color="auto"/>
              <w:bottom w:val="single" w:sz="4" w:space="0" w:color="auto"/>
            </w:tcBorders>
          </w:tcPr>
          <w:p w:rsidR="008A48AB" w:rsidRPr="008A48AB" w:rsidRDefault="008A48AB" w:rsidP="00656B2D">
            <w:pPr>
              <w:spacing w:line="240" w:lineRule="auto"/>
              <w:jc w:val="center"/>
              <w:rPr>
                <w:rFonts w:ascii="Arial" w:hAnsi="Arial" w:cs="Arial"/>
                <w:sz w:val="18"/>
                <w:szCs w:val="18"/>
              </w:rPr>
            </w:pPr>
            <w:r w:rsidRPr="008A48AB">
              <w:rPr>
                <w:rFonts w:ascii="Arial" w:hAnsi="Arial" w:cs="Arial"/>
                <w:sz w:val="18"/>
                <w:szCs w:val="18"/>
              </w:rPr>
              <w:t>94 (100)</w:t>
            </w:r>
          </w:p>
        </w:tc>
      </w:tr>
    </w:tbl>
    <w:p w:rsidR="008A48AB" w:rsidRPr="008A48AB" w:rsidRDefault="008A48AB" w:rsidP="003E3799">
      <w:pPr>
        <w:spacing w:before="200"/>
        <w:ind w:firstLine="720"/>
        <w:rPr>
          <w:rFonts w:ascii="Arial" w:hAnsi="Arial" w:cs="Arial"/>
          <w:sz w:val="20"/>
          <w:szCs w:val="20"/>
        </w:rPr>
      </w:pPr>
      <w:r w:rsidRPr="008A48AB">
        <w:rPr>
          <w:rFonts w:ascii="Arial" w:hAnsi="Arial" w:cs="Arial"/>
          <w:sz w:val="20"/>
          <w:szCs w:val="20"/>
        </w:rPr>
        <w:t>Berdasarkan tabel 2, dari total 48 orang subyek yang merokok, diketahui subyek dengan prehipertensi sebanyak 39 orang (81,2%), hipertensi derajat 1 sebanyak 9 orang (18,8 %). Pada 46 subyek yang tidak merokok didapatkan bahwa subyek dengan prehipertensi didapatkan sebanyak 38 orang (82,6 %) dan hipertensi derajat 1 sebanyak 8 orang (17,4 %). Tidak ada subyek dengan hipertensi derajat 2. Jumlah subyek dengan prehipertensi adalah sebanyak 77 orang (81,9%) dan hipertensi derajat 1 sebanyak 17 orang (18,1%).</w:t>
      </w:r>
    </w:p>
    <w:p w:rsidR="008A48AB" w:rsidRPr="00E53FEF" w:rsidRDefault="008A48AB" w:rsidP="0093101C">
      <w:pPr>
        <w:spacing w:before="100" w:after="100" w:line="240" w:lineRule="auto"/>
        <w:rPr>
          <w:rFonts w:ascii="Arial" w:hAnsi="Arial" w:cs="Arial"/>
          <w:b/>
          <w:sz w:val="18"/>
          <w:szCs w:val="18"/>
        </w:rPr>
      </w:pPr>
      <w:r w:rsidRPr="00E53FEF">
        <w:rPr>
          <w:rFonts w:ascii="Arial" w:hAnsi="Arial" w:cs="Arial"/>
          <w:b/>
          <w:sz w:val="18"/>
          <w:szCs w:val="18"/>
        </w:rPr>
        <w:t>Tabel 3. Distribusi Proteinuria Berdasarkan Karakteristik Subyek Penelitian</w:t>
      </w:r>
    </w:p>
    <w:tbl>
      <w:tblPr>
        <w:tblStyle w:val="TableGrid"/>
        <w:tblW w:w="44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926"/>
        <w:gridCol w:w="1172"/>
        <w:gridCol w:w="952"/>
      </w:tblGrid>
      <w:tr w:rsidR="008A48AB" w:rsidRPr="008A48AB" w:rsidTr="008A48AB">
        <w:trPr>
          <w:trHeight w:val="287"/>
        </w:trPr>
        <w:tc>
          <w:tcPr>
            <w:tcW w:w="1386" w:type="dxa"/>
            <w:vMerge w:val="restart"/>
            <w:tcBorders>
              <w:top w:val="single" w:sz="4" w:space="0" w:color="auto"/>
            </w:tcBorders>
          </w:tcPr>
          <w:p w:rsidR="008A48AB" w:rsidRPr="008A48AB" w:rsidRDefault="008A48AB" w:rsidP="00656B2D">
            <w:pPr>
              <w:spacing w:after="160" w:line="240" w:lineRule="auto"/>
              <w:jc w:val="left"/>
              <w:rPr>
                <w:rFonts w:ascii="Arial" w:hAnsi="Arial" w:cs="Arial"/>
                <w:b/>
                <w:sz w:val="16"/>
                <w:szCs w:val="16"/>
              </w:rPr>
            </w:pPr>
            <w:r w:rsidRPr="008A48AB">
              <w:rPr>
                <w:rFonts w:ascii="Arial" w:hAnsi="Arial" w:cs="Arial"/>
                <w:b/>
                <w:sz w:val="16"/>
                <w:szCs w:val="16"/>
              </w:rPr>
              <w:t>Proteinuria</w:t>
            </w:r>
          </w:p>
        </w:tc>
        <w:tc>
          <w:tcPr>
            <w:tcW w:w="2098" w:type="dxa"/>
            <w:gridSpan w:val="2"/>
            <w:tcBorders>
              <w:top w:val="single" w:sz="4" w:space="0" w:color="auto"/>
              <w:bottom w:val="nil"/>
            </w:tcBorders>
          </w:tcPr>
          <w:p w:rsidR="008A48AB" w:rsidRPr="008A48AB" w:rsidRDefault="008A48AB" w:rsidP="00656B2D">
            <w:pPr>
              <w:spacing w:after="160" w:line="240" w:lineRule="auto"/>
              <w:jc w:val="center"/>
              <w:rPr>
                <w:rFonts w:ascii="Arial" w:hAnsi="Arial" w:cs="Arial"/>
                <w:b/>
                <w:sz w:val="16"/>
                <w:szCs w:val="16"/>
              </w:rPr>
            </w:pPr>
            <w:r w:rsidRPr="008A48AB">
              <w:rPr>
                <w:rFonts w:ascii="Arial" w:hAnsi="Arial" w:cs="Arial"/>
                <w:b/>
                <w:sz w:val="16"/>
                <w:szCs w:val="16"/>
              </w:rPr>
              <w:t>Jumlah Subyek (N =94)</w:t>
            </w:r>
          </w:p>
        </w:tc>
        <w:tc>
          <w:tcPr>
            <w:tcW w:w="952" w:type="dxa"/>
            <w:tcBorders>
              <w:top w:val="single" w:sz="4" w:space="0" w:color="auto"/>
              <w:bottom w:val="nil"/>
            </w:tcBorders>
          </w:tcPr>
          <w:p w:rsidR="008A48AB" w:rsidRPr="008A48AB" w:rsidRDefault="008A48AB" w:rsidP="00656B2D">
            <w:pPr>
              <w:spacing w:after="160" w:line="240" w:lineRule="auto"/>
              <w:jc w:val="center"/>
              <w:rPr>
                <w:rFonts w:ascii="Arial" w:hAnsi="Arial" w:cs="Arial"/>
                <w:b/>
                <w:sz w:val="16"/>
                <w:szCs w:val="16"/>
              </w:rPr>
            </w:pPr>
            <w:r w:rsidRPr="008A48AB">
              <w:rPr>
                <w:rFonts w:ascii="Arial" w:hAnsi="Arial" w:cs="Arial"/>
                <w:b/>
                <w:sz w:val="16"/>
                <w:szCs w:val="16"/>
              </w:rPr>
              <w:t>Jumlah  (%)</w:t>
            </w:r>
          </w:p>
        </w:tc>
      </w:tr>
      <w:tr w:rsidR="008A48AB" w:rsidRPr="008A48AB" w:rsidTr="008A48AB">
        <w:trPr>
          <w:trHeight w:val="287"/>
        </w:trPr>
        <w:tc>
          <w:tcPr>
            <w:tcW w:w="1386" w:type="dxa"/>
            <w:vMerge/>
            <w:tcBorders>
              <w:bottom w:val="single" w:sz="4" w:space="0" w:color="auto"/>
            </w:tcBorders>
          </w:tcPr>
          <w:p w:rsidR="008A48AB" w:rsidRPr="008A48AB" w:rsidRDefault="008A48AB" w:rsidP="00656B2D">
            <w:pPr>
              <w:spacing w:after="160" w:line="240" w:lineRule="auto"/>
              <w:jc w:val="left"/>
              <w:rPr>
                <w:rFonts w:ascii="Arial" w:hAnsi="Arial" w:cs="Arial"/>
                <w:b/>
                <w:sz w:val="16"/>
                <w:szCs w:val="16"/>
              </w:rPr>
            </w:pPr>
          </w:p>
        </w:tc>
        <w:tc>
          <w:tcPr>
            <w:tcW w:w="926" w:type="dxa"/>
            <w:tcBorders>
              <w:top w:val="nil"/>
              <w:bottom w:val="single" w:sz="4" w:space="0" w:color="auto"/>
            </w:tcBorders>
          </w:tcPr>
          <w:p w:rsidR="008A48AB" w:rsidRPr="008A48AB" w:rsidRDefault="008A48AB" w:rsidP="00656B2D">
            <w:pPr>
              <w:spacing w:after="160" w:line="240" w:lineRule="auto"/>
              <w:jc w:val="center"/>
              <w:rPr>
                <w:rFonts w:ascii="Arial" w:hAnsi="Arial" w:cs="Arial"/>
                <w:b/>
                <w:sz w:val="16"/>
                <w:szCs w:val="16"/>
              </w:rPr>
            </w:pPr>
            <w:r w:rsidRPr="008A48AB">
              <w:rPr>
                <w:rFonts w:ascii="Arial" w:hAnsi="Arial" w:cs="Arial"/>
                <w:b/>
                <w:sz w:val="16"/>
                <w:szCs w:val="16"/>
              </w:rPr>
              <w:t>Perokok (%)</w:t>
            </w:r>
          </w:p>
        </w:tc>
        <w:tc>
          <w:tcPr>
            <w:tcW w:w="1172" w:type="dxa"/>
            <w:tcBorders>
              <w:top w:val="nil"/>
              <w:bottom w:val="single" w:sz="4" w:space="0" w:color="auto"/>
            </w:tcBorders>
          </w:tcPr>
          <w:p w:rsidR="008A48AB" w:rsidRPr="008A48AB" w:rsidRDefault="008A48AB" w:rsidP="00656B2D">
            <w:pPr>
              <w:spacing w:after="160" w:line="240" w:lineRule="auto"/>
              <w:jc w:val="center"/>
              <w:rPr>
                <w:rFonts w:ascii="Arial" w:hAnsi="Arial" w:cs="Arial"/>
                <w:b/>
                <w:sz w:val="16"/>
                <w:szCs w:val="16"/>
              </w:rPr>
            </w:pPr>
            <w:r w:rsidRPr="008A48AB">
              <w:rPr>
                <w:rFonts w:ascii="Arial" w:hAnsi="Arial" w:cs="Arial"/>
                <w:b/>
                <w:sz w:val="16"/>
                <w:szCs w:val="16"/>
              </w:rPr>
              <w:t>Bukan Perokok (%)</w:t>
            </w:r>
          </w:p>
        </w:tc>
        <w:tc>
          <w:tcPr>
            <w:tcW w:w="952" w:type="dxa"/>
            <w:tcBorders>
              <w:top w:val="nil"/>
              <w:bottom w:val="single" w:sz="4" w:space="0" w:color="auto"/>
            </w:tcBorders>
          </w:tcPr>
          <w:p w:rsidR="008A48AB" w:rsidRPr="008A48AB" w:rsidRDefault="008A48AB" w:rsidP="00656B2D">
            <w:pPr>
              <w:spacing w:after="160" w:line="240" w:lineRule="auto"/>
              <w:jc w:val="left"/>
              <w:rPr>
                <w:rFonts w:ascii="Arial" w:hAnsi="Arial" w:cs="Arial"/>
                <w:b/>
                <w:sz w:val="16"/>
                <w:szCs w:val="16"/>
              </w:rPr>
            </w:pPr>
          </w:p>
        </w:tc>
      </w:tr>
      <w:tr w:rsidR="008A48AB" w:rsidRPr="008A48AB" w:rsidTr="008A48AB">
        <w:trPr>
          <w:trHeight w:val="298"/>
        </w:trPr>
        <w:tc>
          <w:tcPr>
            <w:tcW w:w="1386" w:type="dxa"/>
            <w:tcBorders>
              <w:top w:val="single" w:sz="4" w:space="0" w:color="auto"/>
            </w:tcBorders>
          </w:tcPr>
          <w:p w:rsidR="008A48AB" w:rsidRPr="008A48AB" w:rsidRDefault="008A48AB" w:rsidP="00656B2D">
            <w:pPr>
              <w:spacing w:after="160" w:line="240" w:lineRule="auto"/>
              <w:jc w:val="left"/>
              <w:rPr>
                <w:rFonts w:ascii="Arial" w:hAnsi="Arial" w:cs="Arial"/>
                <w:sz w:val="16"/>
                <w:szCs w:val="16"/>
              </w:rPr>
            </w:pPr>
            <w:r w:rsidRPr="008A48AB">
              <w:rPr>
                <w:rFonts w:ascii="Arial" w:hAnsi="Arial" w:cs="Arial"/>
                <w:sz w:val="16"/>
                <w:szCs w:val="16"/>
              </w:rPr>
              <w:t>Negatif</w:t>
            </w:r>
          </w:p>
        </w:tc>
        <w:tc>
          <w:tcPr>
            <w:tcW w:w="926" w:type="dxa"/>
            <w:tcBorders>
              <w:top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7 (14,6)</w:t>
            </w:r>
          </w:p>
        </w:tc>
        <w:tc>
          <w:tcPr>
            <w:tcW w:w="1172" w:type="dxa"/>
            <w:tcBorders>
              <w:top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17 (37)</w:t>
            </w:r>
          </w:p>
        </w:tc>
        <w:tc>
          <w:tcPr>
            <w:tcW w:w="952" w:type="dxa"/>
            <w:tcBorders>
              <w:top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24 (25,5)</w:t>
            </w:r>
          </w:p>
        </w:tc>
      </w:tr>
      <w:tr w:rsidR="008A48AB" w:rsidRPr="008A48AB" w:rsidTr="008A48AB">
        <w:trPr>
          <w:trHeight w:val="287"/>
        </w:trPr>
        <w:tc>
          <w:tcPr>
            <w:tcW w:w="1386" w:type="dxa"/>
            <w:tcBorders>
              <w:bottom w:val="nil"/>
            </w:tcBorders>
          </w:tcPr>
          <w:p w:rsidR="008A48AB" w:rsidRPr="008A48AB" w:rsidRDefault="008A48AB" w:rsidP="00656B2D">
            <w:pPr>
              <w:spacing w:after="160" w:line="240" w:lineRule="auto"/>
              <w:jc w:val="left"/>
              <w:rPr>
                <w:rFonts w:ascii="Arial" w:hAnsi="Arial" w:cs="Arial"/>
                <w:bCs/>
                <w:sz w:val="16"/>
                <w:szCs w:val="16"/>
              </w:rPr>
            </w:pPr>
            <w:r w:rsidRPr="008A48AB">
              <w:rPr>
                <w:rFonts w:ascii="Arial" w:hAnsi="Arial" w:cs="Arial"/>
                <w:bCs/>
                <w:i/>
                <w:sz w:val="16"/>
                <w:szCs w:val="16"/>
              </w:rPr>
              <w:t xml:space="preserve">Trace </w:t>
            </w:r>
            <w:r w:rsidRPr="008A48AB">
              <w:rPr>
                <w:rFonts w:ascii="Arial" w:hAnsi="Arial" w:cs="Arial"/>
                <w:bCs/>
                <w:sz w:val="16"/>
                <w:szCs w:val="16"/>
              </w:rPr>
              <w:t>(&lt;30mg/100ml)</w:t>
            </w:r>
          </w:p>
        </w:tc>
        <w:tc>
          <w:tcPr>
            <w:tcW w:w="926" w:type="dxa"/>
            <w:tcBorders>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8 (16,7)</w:t>
            </w:r>
          </w:p>
        </w:tc>
        <w:tc>
          <w:tcPr>
            <w:tcW w:w="1172" w:type="dxa"/>
            <w:tcBorders>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17 (37)</w:t>
            </w:r>
          </w:p>
        </w:tc>
        <w:tc>
          <w:tcPr>
            <w:tcW w:w="952" w:type="dxa"/>
            <w:tcBorders>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25(21,3)</w:t>
            </w:r>
          </w:p>
        </w:tc>
      </w:tr>
      <w:tr w:rsidR="008A48AB" w:rsidRPr="008A48AB" w:rsidTr="008A48AB">
        <w:trPr>
          <w:trHeight w:val="287"/>
        </w:trPr>
        <w:tc>
          <w:tcPr>
            <w:tcW w:w="1386" w:type="dxa"/>
            <w:tcBorders>
              <w:top w:val="nil"/>
              <w:bottom w:val="nil"/>
            </w:tcBorders>
          </w:tcPr>
          <w:p w:rsidR="008A48AB" w:rsidRPr="008A48AB" w:rsidRDefault="008A48AB" w:rsidP="00656B2D">
            <w:pPr>
              <w:spacing w:after="160" w:line="240" w:lineRule="auto"/>
              <w:jc w:val="left"/>
              <w:rPr>
                <w:rFonts w:ascii="Arial" w:hAnsi="Arial" w:cs="Arial"/>
                <w:bCs/>
                <w:sz w:val="16"/>
                <w:szCs w:val="16"/>
              </w:rPr>
            </w:pPr>
            <w:r w:rsidRPr="008A48AB">
              <w:rPr>
                <w:rFonts w:ascii="Arial" w:hAnsi="Arial" w:cs="Arial"/>
                <w:bCs/>
                <w:sz w:val="16"/>
                <w:szCs w:val="16"/>
              </w:rPr>
              <w:t>+1(30mg/100ml)</w:t>
            </w:r>
          </w:p>
        </w:tc>
        <w:tc>
          <w:tcPr>
            <w:tcW w:w="926" w:type="dxa"/>
            <w:tcBorders>
              <w:top w:val="nil"/>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27 (56,3)</w:t>
            </w:r>
          </w:p>
        </w:tc>
        <w:tc>
          <w:tcPr>
            <w:tcW w:w="1172" w:type="dxa"/>
            <w:tcBorders>
              <w:top w:val="nil"/>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12 (26)</w:t>
            </w:r>
          </w:p>
        </w:tc>
        <w:tc>
          <w:tcPr>
            <w:tcW w:w="952" w:type="dxa"/>
            <w:tcBorders>
              <w:top w:val="nil"/>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37 (39,4)</w:t>
            </w:r>
          </w:p>
        </w:tc>
      </w:tr>
      <w:tr w:rsidR="008A48AB" w:rsidRPr="008A48AB" w:rsidTr="008A48AB">
        <w:trPr>
          <w:trHeight w:val="298"/>
        </w:trPr>
        <w:tc>
          <w:tcPr>
            <w:tcW w:w="1386" w:type="dxa"/>
            <w:tcBorders>
              <w:top w:val="nil"/>
              <w:bottom w:val="nil"/>
            </w:tcBorders>
          </w:tcPr>
          <w:p w:rsidR="008A48AB" w:rsidRPr="008A48AB" w:rsidRDefault="008A48AB" w:rsidP="00656B2D">
            <w:pPr>
              <w:spacing w:after="160" w:line="240" w:lineRule="auto"/>
              <w:jc w:val="left"/>
              <w:rPr>
                <w:rFonts w:ascii="Arial" w:hAnsi="Arial" w:cs="Arial"/>
                <w:bCs/>
                <w:sz w:val="16"/>
                <w:szCs w:val="16"/>
              </w:rPr>
            </w:pPr>
            <w:r w:rsidRPr="008A48AB">
              <w:rPr>
                <w:rFonts w:ascii="Arial" w:hAnsi="Arial" w:cs="Arial"/>
                <w:bCs/>
                <w:sz w:val="16"/>
                <w:szCs w:val="16"/>
              </w:rPr>
              <w:t>+2 (100mg/100ml)</w:t>
            </w:r>
          </w:p>
        </w:tc>
        <w:tc>
          <w:tcPr>
            <w:tcW w:w="926" w:type="dxa"/>
            <w:tcBorders>
              <w:top w:val="nil"/>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6 (12,5)</w:t>
            </w:r>
          </w:p>
        </w:tc>
        <w:tc>
          <w:tcPr>
            <w:tcW w:w="1172" w:type="dxa"/>
            <w:tcBorders>
              <w:top w:val="nil"/>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c>
          <w:tcPr>
            <w:tcW w:w="952" w:type="dxa"/>
            <w:tcBorders>
              <w:top w:val="nil"/>
              <w:bottom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6 (7,7)</w:t>
            </w:r>
          </w:p>
        </w:tc>
      </w:tr>
      <w:tr w:rsidR="008A48AB" w:rsidRPr="008A48AB" w:rsidTr="008A48AB">
        <w:trPr>
          <w:trHeight w:val="287"/>
        </w:trPr>
        <w:tc>
          <w:tcPr>
            <w:tcW w:w="1386" w:type="dxa"/>
            <w:tcBorders>
              <w:top w:val="nil"/>
            </w:tcBorders>
          </w:tcPr>
          <w:p w:rsidR="008A48AB" w:rsidRPr="008A48AB" w:rsidRDefault="008A48AB" w:rsidP="00656B2D">
            <w:pPr>
              <w:spacing w:after="160" w:line="240" w:lineRule="auto"/>
              <w:jc w:val="left"/>
              <w:rPr>
                <w:rFonts w:ascii="Arial" w:hAnsi="Arial" w:cs="Arial"/>
                <w:bCs/>
                <w:sz w:val="16"/>
                <w:szCs w:val="16"/>
              </w:rPr>
            </w:pPr>
            <w:r w:rsidRPr="008A48AB">
              <w:rPr>
                <w:rFonts w:ascii="Arial" w:hAnsi="Arial" w:cs="Arial"/>
                <w:bCs/>
                <w:sz w:val="16"/>
                <w:szCs w:val="16"/>
              </w:rPr>
              <w:t>+3 (300mg/100ml)</w:t>
            </w:r>
          </w:p>
        </w:tc>
        <w:tc>
          <w:tcPr>
            <w:tcW w:w="926" w:type="dxa"/>
            <w:tcBorders>
              <w:top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c>
          <w:tcPr>
            <w:tcW w:w="1172" w:type="dxa"/>
            <w:tcBorders>
              <w:top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c>
          <w:tcPr>
            <w:tcW w:w="952" w:type="dxa"/>
            <w:tcBorders>
              <w:top w:val="nil"/>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r>
      <w:tr w:rsidR="008A48AB" w:rsidRPr="008A48AB" w:rsidTr="008A48AB">
        <w:trPr>
          <w:trHeight w:val="298"/>
        </w:trPr>
        <w:tc>
          <w:tcPr>
            <w:tcW w:w="1386" w:type="dxa"/>
            <w:tcBorders>
              <w:bottom w:val="single" w:sz="4" w:space="0" w:color="auto"/>
            </w:tcBorders>
          </w:tcPr>
          <w:p w:rsidR="008A48AB" w:rsidRPr="008A48AB" w:rsidRDefault="008A48AB" w:rsidP="00656B2D">
            <w:pPr>
              <w:spacing w:after="160" w:line="240" w:lineRule="auto"/>
              <w:jc w:val="left"/>
              <w:rPr>
                <w:rFonts w:ascii="Arial" w:hAnsi="Arial" w:cs="Arial"/>
                <w:bCs/>
                <w:sz w:val="16"/>
                <w:szCs w:val="16"/>
              </w:rPr>
            </w:pPr>
            <w:r w:rsidRPr="008A48AB">
              <w:rPr>
                <w:rFonts w:ascii="Arial" w:hAnsi="Arial" w:cs="Arial"/>
                <w:bCs/>
                <w:sz w:val="16"/>
                <w:szCs w:val="16"/>
              </w:rPr>
              <w:t>+4 (1gr/100ml)</w:t>
            </w:r>
          </w:p>
        </w:tc>
        <w:tc>
          <w:tcPr>
            <w:tcW w:w="926" w:type="dxa"/>
            <w:tcBorders>
              <w:bottom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c>
          <w:tcPr>
            <w:tcW w:w="1172" w:type="dxa"/>
            <w:tcBorders>
              <w:bottom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c>
          <w:tcPr>
            <w:tcW w:w="952" w:type="dxa"/>
            <w:tcBorders>
              <w:bottom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0</w:t>
            </w:r>
          </w:p>
        </w:tc>
      </w:tr>
      <w:tr w:rsidR="008A48AB" w:rsidRPr="008A48AB" w:rsidTr="008A48AB">
        <w:trPr>
          <w:trHeight w:val="277"/>
        </w:trPr>
        <w:tc>
          <w:tcPr>
            <w:tcW w:w="1386" w:type="dxa"/>
            <w:tcBorders>
              <w:top w:val="single" w:sz="4" w:space="0" w:color="auto"/>
              <w:bottom w:val="single" w:sz="4" w:space="0" w:color="auto"/>
            </w:tcBorders>
          </w:tcPr>
          <w:p w:rsidR="008A48AB" w:rsidRPr="008A48AB" w:rsidRDefault="008A48AB" w:rsidP="00656B2D">
            <w:pPr>
              <w:spacing w:after="160" w:line="240" w:lineRule="auto"/>
              <w:jc w:val="left"/>
              <w:rPr>
                <w:rFonts w:ascii="Arial" w:hAnsi="Arial" w:cs="Arial"/>
                <w:sz w:val="16"/>
                <w:szCs w:val="16"/>
              </w:rPr>
            </w:pPr>
            <w:r w:rsidRPr="008A48AB">
              <w:rPr>
                <w:rFonts w:ascii="Arial" w:hAnsi="Arial" w:cs="Arial"/>
                <w:sz w:val="16"/>
                <w:szCs w:val="16"/>
              </w:rPr>
              <w:t>Total</w:t>
            </w:r>
          </w:p>
        </w:tc>
        <w:tc>
          <w:tcPr>
            <w:tcW w:w="926" w:type="dxa"/>
            <w:tcBorders>
              <w:top w:val="single" w:sz="4" w:space="0" w:color="auto"/>
              <w:bottom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48 (51,1)</w:t>
            </w:r>
          </w:p>
        </w:tc>
        <w:tc>
          <w:tcPr>
            <w:tcW w:w="1172" w:type="dxa"/>
            <w:tcBorders>
              <w:top w:val="single" w:sz="4" w:space="0" w:color="auto"/>
              <w:bottom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46 (48,9)</w:t>
            </w:r>
          </w:p>
        </w:tc>
        <w:tc>
          <w:tcPr>
            <w:tcW w:w="952" w:type="dxa"/>
            <w:tcBorders>
              <w:top w:val="single" w:sz="4" w:space="0" w:color="auto"/>
              <w:bottom w:val="single" w:sz="4" w:space="0" w:color="auto"/>
            </w:tcBorders>
          </w:tcPr>
          <w:p w:rsidR="008A48AB" w:rsidRPr="008A48AB" w:rsidRDefault="008A48AB" w:rsidP="00656B2D">
            <w:pPr>
              <w:spacing w:after="160" w:line="240" w:lineRule="auto"/>
              <w:jc w:val="center"/>
              <w:rPr>
                <w:rFonts w:ascii="Arial" w:hAnsi="Arial" w:cs="Arial"/>
                <w:sz w:val="16"/>
                <w:szCs w:val="16"/>
              </w:rPr>
            </w:pPr>
            <w:r w:rsidRPr="008A48AB">
              <w:rPr>
                <w:rFonts w:ascii="Arial" w:hAnsi="Arial" w:cs="Arial"/>
                <w:sz w:val="16"/>
                <w:szCs w:val="16"/>
              </w:rPr>
              <w:t>94 (100)</w:t>
            </w:r>
          </w:p>
        </w:tc>
      </w:tr>
    </w:tbl>
    <w:p w:rsidR="008A48AB" w:rsidRPr="008A48AB" w:rsidRDefault="008A48AB" w:rsidP="00656B2D">
      <w:pPr>
        <w:spacing w:before="200"/>
        <w:ind w:firstLine="720"/>
        <w:rPr>
          <w:rFonts w:ascii="Arial" w:hAnsi="Arial" w:cs="Arial"/>
          <w:sz w:val="20"/>
          <w:szCs w:val="20"/>
        </w:rPr>
      </w:pPr>
      <w:r w:rsidRPr="008A48AB">
        <w:rPr>
          <w:rFonts w:ascii="Arial" w:hAnsi="Arial" w:cs="Arial"/>
          <w:sz w:val="20"/>
          <w:szCs w:val="20"/>
        </w:rPr>
        <w:t>Berdasarkan tabel 3 pada 48 subyek penelitian dengan prehipertensi dan hipertensi pada perokok didapatkan hasil pemeriksaan proteinuria  +2 pada 6 subyek (12,5%), proteinuria +1 pada 27 subyek (56,3%), samar-samar (</w:t>
      </w:r>
      <w:r w:rsidRPr="008A48AB">
        <w:rPr>
          <w:rFonts w:ascii="Arial" w:hAnsi="Arial" w:cs="Arial"/>
          <w:i/>
          <w:sz w:val="20"/>
          <w:szCs w:val="20"/>
        </w:rPr>
        <w:t>trace</w:t>
      </w:r>
      <w:r w:rsidRPr="008A48AB">
        <w:rPr>
          <w:rFonts w:ascii="Arial" w:hAnsi="Arial" w:cs="Arial"/>
          <w:sz w:val="20"/>
          <w:szCs w:val="20"/>
        </w:rPr>
        <w:t>) pada 8 subyek (16,7%) dan negatif pada 7 subyek (14,6%). Tidak ada subyek penelitian perokok yang didapatkan hasil pemeriksaan proteinuria +3 dan +4. Dapat diketahui jumlah subyek perokok yang didapatkan hasil proteinuria positif  (≥+1│30mg/100ml) sebanyak 33 orang (68,7%). Sedangkan hasil proteinuria negatif (&lt;+1│30mg/100ml) sebanyak 15 orang (31,3%).</w:t>
      </w:r>
    </w:p>
    <w:p w:rsidR="008A48AB" w:rsidRDefault="00ED48C7" w:rsidP="003E3799">
      <w:pPr>
        <w:ind w:firstLine="720"/>
        <w:rPr>
          <w:rFonts w:ascii="Arial" w:hAnsi="Arial" w:cs="Arial"/>
          <w:sz w:val="20"/>
          <w:szCs w:val="20"/>
        </w:rPr>
      </w:pPr>
      <w:r>
        <w:rPr>
          <w:rFonts w:ascii="Arial" w:hAnsi="Arial" w:cs="Arial"/>
          <w:sz w:val="20"/>
          <w:szCs w:val="20"/>
        </w:rPr>
        <w:t>D</w:t>
      </w:r>
      <w:r w:rsidR="008A48AB" w:rsidRPr="008A48AB">
        <w:rPr>
          <w:rFonts w:ascii="Arial" w:hAnsi="Arial" w:cs="Arial"/>
          <w:sz w:val="20"/>
          <w:szCs w:val="20"/>
        </w:rPr>
        <w:t>istribusi proteinuria pada 46 subyek penelitian yang bukan perokok didapatkan hasil pemeriksaan protinuria semikuantitatif +1 pada 12 subyek (26%), samar-samar (</w:t>
      </w:r>
      <w:r w:rsidR="008A48AB" w:rsidRPr="008A48AB">
        <w:rPr>
          <w:rFonts w:ascii="Arial" w:hAnsi="Arial" w:cs="Arial"/>
          <w:i/>
          <w:sz w:val="20"/>
          <w:szCs w:val="20"/>
        </w:rPr>
        <w:t>trace</w:t>
      </w:r>
      <w:r w:rsidR="008A48AB" w:rsidRPr="008A48AB">
        <w:rPr>
          <w:rFonts w:ascii="Arial" w:hAnsi="Arial" w:cs="Arial"/>
          <w:sz w:val="20"/>
          <w:szCs w:val="20"/>
        </w:rPr>
        <w:t>) pada 17 subyek (37%), dan negatif pada 17 subyek (37%). Tidak didapatkan hasil pemeriksaan semikuantitatif +2, +3 dan +4. Jumlah subyek penelitian bukan perokok dengan hasil proteinuria positif sebanyak 12 orang (26%) dan proteinuria negatif sebanyak 34 orang (74%).</w:t>
      </w:r>
    </w:p>
    <w:p w:rsidR="002A16B5" w:rsidRPr="00E53FEF" w:rsidRDefault="002A16B5" w:rsidP="0093101C">
      <w:pPr>
        <w:spacing w:before="200" w:after="100" w:line="240" w:lineRule="auto"/>
        <w:rPr>
          <w:rFonts w:ascii="Arial" w:hAnsi="Arial" w:cs="Arial"/>
          <w:b/>
          <w:sz w:val="18"/>
          <w:szCs w:val="18"/>
        </w:rPr>
      </w:pPr>
      <w:r w:rsidRPr="00E53FEF">
        <w:rPr>
          <w:rFonts w:ascii="Arial" w:hAnsi="Arial" w:cs="Arial"/>
          <w:b/>
          <w:sz w:val="18"/>
          <w:szCs w:val="18"/>
        </w:rPr>
        <w:t>Tabel 4. Distribusi Proteinuria Berdasarkan Tekanan Darah Prehipertensi dan Hipertensi pada Perokok</w:t>
      </w:r>
    </w:p>
    <w:tbl>
      <w:tblPr>
        <w:tblStyle w:val="TableGrid"/>
        <w:tblW w:w="4454"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1100"/>
        <w:gridCol w:w="1136"/>
        <w:gridCol w:w="1004"/>
      </w:tblGrid>
      <w:tr w:rsidR="002A16B5" w:rsidRPr="002A16B5" w:rsidTr="002A16B5">
        <w:trPr>
          <w:trHeight w:val="211"/>
        </w:trPr>
        <w:tc>
          <w:tcPr>
            <w:tcW w:w="1214" w:type="dxa"/>
            <w:tcBorders>
              <w:top w:val="single" w:sz="4" w:space="0" w:color="auto"/>
              <w:bottom w:val="nil"/>
            </w:tcBorders>
          </w:tcPr>
          <w:p w:rsidR="002A16B5" w:rsidRPr="002A16B5" w:rsidRDefault="002A16B5" w:rsidP="002A16B5">
            <w:pPr>
              <w:rPr>
                <w:rFonts w:ascii="Arial" w:hAnsi="Arial" w:cs="Arial"/>
                <w:b/>
                <w:sz w:val="16"/>
                <w:szCs w:val="16"/>
              </w:rPr>
            </w:pPr>
            <w:r w:rsidRPr="002A16B5">
              <w:rPr>
                <w:rFonts w:ascii="Arial" w:hAnsi="Arial" w:cs="Arial"/>
                <w:b/>
                <w:sz w:val="16"/>
                <w:szCs w:val="16"/>
              </w:rPr>
              <w:t>Proteinuria</w:t>
            </w:r>
          </w:p>
        </w:tc>
        <w:tc>
          <w:tcPr>
            <w:tcW w:w="2236" w:type="dxa"/>
            <w:gridSpan w:val="2"/>
            <w:tcBorders>
              <w:top w:val="single" w:sz="4" w:space="0" w:color="auto"/>
              <w:bottom w:val="nil"/>
            </w:tcBorders>
          </w:tcPr>
          <w:p w:rsidR="002A16B5" w:rsidRPr="002A16B5" w:rsidRDefault="002A16B5" w:rsidP="002A16B5">
            <w:pPr>
              <w:jc w:val="center"/>
              <w:rPr>
                <w:rFonts w:ascii="Arial" w:hAnsi="Arial" w:cs="Arial"/>
                <w:b/>
                <w:sz w:val="16"/>
                <w:szCs w:val="16"/>
              </w:rPr>
            </w:pPr>
            <w:r w:rsidRPr="002A16B5">
              <w:rPr>
                <w:rFonts w:ascii="Arial" w:hAnsi="Arial" w:cs="Arial"/>
                <w:b/>
                <w:sz w:val="16"/>
                <w:szCs w:val="16"/>
              </w:rPr>
              <w:t>Klasifikasi Tekanan Darah</w:t>
            </w:r>
          </w:p>
        </w:tc>
        <w:tc>
          <w:tcPr>
            <w:tcW w:w="1004" w:type="dxa"/>
            <w:tcBorders>
              <w:top w:val="single" w:sz="4" w:space="0" w:color="auto"/>
              <w:bottom w:val="nil"/>
            </w:tcBorders>
          </w:tcPr>
          <w:p w:rsidR="002A16B5" w:rsidRPr="002A16B5" w:rsidRDefault="002A16B5" w:rsidP="002A16B5">
            <w:pPr>
              <w:jc w:val="center"/>
              <w:rPr>
                <w:rFonts w:ascii="Arial" w:hAnsi="Arial" w:cs="Arial"/>
                <w:b/>
                <w:sz w:val="16"/>
                <w:szCs w:val="16"/>
              </w:rPr>
            </w:pPr>
            <w:r w:rsidRPr="002A16B5">
              <w:rPr>
                <w:rFonts w:ascii="Arial" w:hAnsi="Arial" w:cs="Arial"/>
                <w:b/>
                <w:sz w:val="16"/>
                <w:szCs w:val="16"/>
              </w:rPr>
              <w:t>Jumlah (%)</w:t>
            </w:r>
          </w:p>
        </w:tc>
      </w:tr>
      <w:tr w:rsidR="002A16B5" w:rsidRPr="002A16B5" w:rsidTr="002A16B5">
        <w:trPr>
          <w:trHeight w:val="105"/>
        </w:trPr>
        <w:tc>
          <w:tcPr>
            <w:tcW w:w="1214" w:type="dxa"/>
            <w:tcBorders>
              <w:top w:val="nil"/>
              <w:bottom w:val="single" w:sz="4" w:space="0" w:color="auto"/>
            </w:tcBorders>
          </w:tcPr>
          <w:p w:rsidR="002A16B5" w:rsidRPr="002A16B5" w:rsidRDefault="002A16B5" w:rsidP="002A16B5">
            <w:pPr>
              <w:rPr>
                <w:rFonts w:ascii="Arial" w:hAnsi="Arial" w:cs="Arial"/>
                <w:b/>
                <w:sz w:val="16"/>
                <w:szCs w:val="16"/>
              </w:rPr>
            </w:pPr>
          </w:p>
        </w:tc>
        <w:tc>
          <w:tcPr>
            <w:tcW w:w="1100" w:type="dxa"/>
            <w:tcBorders>
              <w:top w:val="nil"/>
              <w:bottom w:val="single" w:sz="4" w:space="0" w:color="auto"/>
            </w:tcBorders>
          </w:tcPr>
          <w:p w:rsidR="002A16B5" w:rsidRPr="002A16B5" w:rsidRDefault="002A16B5" w:rsidP="002A16B5">
            <w:pPr>
              <w:jc w:val="center"/>
              <w:rPr>
                <w:rFonts w:ascii="Arial" w:hAnsi="Arial" w:cs="Arial"/>
                <w:b/>
                <w:sz w:val="16"/>
                <w:szCs w:val="16"/>
              </w:rPr>
            </w:pPr>
            <w:r w:rsidRPr="002A16B5">
              <w:rPr>
                <w:rFonts w:ascii="Arial" w:hAnsi="Arial" w:cs="Arial"/>
                <w:b/>
                <w:sz w:val="16"/>
                <w:szCs w:val="16"/>
              </w:rPr>
              <w:t>Prehipertensi (%)</w:t>
            </w:r>
          </w:p>
        </w:tc>
        <w:tc>
          <w:tcPr>
            <w:tcW w:w="1135" w:type="dxa"/>
            <w:tcBorders>
              <w:top w:val="nil"/>
              <w:bottom w:val="single" w:sz="4" w:space="0" w:color="auto"/>
            </w:tcBorders>
          </w:tcPr>
          <w:p w:rsidR="002A16B5" w:rsidRPr="002A16B5" w:rsidRDefault="002A16B5" w:rsidP="002A16B5">
            <w:pPr>
              <w:jc w:val="center"/>
              <w:rPr>
                <w:rFonts w:ascii="Arial" w:hAnsi="Arial" w:cs="Arial"/>
                <w:b/>
                <w:sz w:val="16"/>
                <w:szCs w:val="16"/>
              </w:rPr>
            </w:pPr>
            <w:r w:rsidRPr="002A16B5">
              <w:rPr>
                <w:rFonts w:ascii="Arial" w:hAnsi="Arial" w:cs="Arial"/>
                <w:b/>
                <w:sz w:val="16"/>
                <w:szCs w:val="16"/>
              </w:rPr>
              <w:t>Hipertensi (%)</w:t>
            </w:r>
          </w:p>
        </w:tc>
        <w:tc>
          <w:tcPr>
            <w:tcW w:w="1004" w:type="dxa"/>
            <w:tcBorders>
              <w:top w:val="nil"/>
              <w:bottom w:val="single" w:sz="4" w:space="0" w:color="auto"/>
            </w:tcBorders>
          </w:tcPr>
          <w:p w:rsidR="002A16B5" w:rsidRPr="002A16B5" w:rsidRDefault="002A16B5" w:rsidP="002A16B5">
            <w:pPr>
              <w:jc w:val="center"/>
              <w:rPr>
                <w:rFonts w:ascii="Arial" w:hAnsi="Arial" w:cs="Arial"/>
                <w:b/>
                <w:sz w:val="16"/>
                <w:szCs w:val="16"/>
              </w:rPr>
            </w:pPr>
          </w:p>
        </w:tc>
      </w:tr>
      <w:tr w:rsidR="002A16B5" w:rsidRPr="002A16B5" w:rsidTr="002A16B5">
        <w:trPr>
          <w:trHeight w:val="244"/>
        </w:trPr>
        <w:tc>
          <w:tcPr>
            <w:tcW w:w="1214" w:type="dxa"/>
            <w:tcBorders>
              <w:top w:val="single" w:sz="4" w:space="0" w:color="auto"/>
            </w:tcBorders>
          </w:tcPr>
          <w:p w:rsidR="002A16B5" w:rsidRPr="002A16B5" w:rsidRDefault="002A16B5" w:rsidP="002A16B5">
            <w:pPr>
              <w:rPr>
                <w:rFonts w:ascii="Arial" w:hAnsi="Arial" w:cs="Arial"/>
                <w:sz w:val="16"/>
                <w:szCs w:val="16"/>
              </w:rPr>
            </w:pPr>
            <w:r w:rsidRPr="002A16B5">
              <w:rPr>
                <w:rFonts w:ascii="Arial" w:hAnsi="Arial" w:cs="Arial"/>
                <w:sz w:val="16"/>
                <w:szCs w:val="16"/>
              </w:rPr>
              <w:t>Negatif</w:t>
            </w:r>
          </w:p>
        </w:tc>
        <w:tc>
          <w:tcPr>
            <w:tcW w:w="1100" w:type="dxa"/>
            <w:tcBorders>
              <w:top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7 (17,9)</w:t>
            </w:r>
          </w:p>
        </w:tc>
        <w:tc>
          <w:tcPr>
            <w:tcW w:w="1135" w:type="dxa"/>
            <w:tcBorders>
              <w:top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c>
          <w:tcPr>
            <w:tcW w:w="1004" w:type="dxa"/>
            <w:tcBorders>
              <w:top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7 (14,6)</w:t>
            </w:r>
          </w:p>
        </w:tc>
      </w:tr>
      <w:tr w:rsidR="002A16B5" w:rsidRPr="002A16B5" w:rsidTr="002A16B5">
        <w:trPr>
          <w:trHeight w:val="251"/>
        </w:trPr>
        <w:tc>
          <w:tcPr>
            <w:tcW w:w="1214" w:type="dxa"/>
          </w:tcPr>
          <w:p w:rsidR="002A16B5" w:rsidRPr="002A16B5" w:rsidRDefault="002A16B5" w:rsidP="002A16B5">
            <w:pPr>
              <w:rPr>
                <w:rFonts w:ascii="Arial" w:hAnsi="Arial" w:cs="Arial"/>
                <w:sz w:val="16"/>
                <w:szCs w:val="16"/>
              </w:rPr>
            </w:pPr>
            <w:r w:rsidRPr="002A16B5">
              <w:rPr>
                <w:rFonts w:ascii="Arial" w:hAnsi="Arial" w:cs="Arial"/>
                <w:i/>
                <w:sz w:val="16"/>
                <w:szCs w:val="16"/>
              </w:rPr>
              <w:t>Trace</w:t>
            </w:r>
            <w:r w:rsidRPr="002A16B5">
              <w:rPr>
                <w:rFonts w:ascii="Arial" w:hAnsi="Arial" w:cs="Arial"/>
                <w:sz w:val="16"/>
                <w:szCs w:val="16"/>
              </w:rPr>
              <w:t xml:space="preserve"> </w:t>
            </w:r>
          </w:p>
        </w:tc>
        <w:tc>
          <w:tcPr>
            <w:tcW w:w="1100"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7 (17,9)</w:t>
            </w:r>
          </w:p>
        </w:tc>
        <w:tc>
          <w:tcPr>
            <w:tcW w:w="1135"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1 (11,1)</w:t>
            </w:r>
          </w:p>
        </w:tc>
        <w:tc>
          <w:tcPr>
            <w:tcW w:w="1004"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8 (16,7)</w:t>
            </w:r>
          </w:p>
        </w:tc>
      </w:tr>
      <w:tr w:rsidR="002A16B5" w:rsidRPr="002A16B5" w:rsidTr="002A16B5">
        <w:trPr>
          <w:trHeight w:val="260"/>
        </w:trPr>
        <w:tc>
          <w:tcPr>
            <w:tcW w:w="1214" w:type="dxa"/>
          </w:tcPr>
          <w:p w:rsidR="002A16B5" w:rsidRPr="002A16B5" w:rsidRDefault="002A16B5" w:rsidP="002A16B5">
            <w:pPr>
              <w:rPr>
                <w:rFonts w:ascii="Arial" w:hAnsi="Arial" w:cs="Arial"/>
                <w:sz w:val="16"/>
                <w:szCs w:val="16"/>
              </w:rPr>
            </w:pPr>
            <w:r w:rsidRPr="002A16B5">
              <w:rPr>
                <w:rFonts w:ascii="Arial" w:hAnsi="Arial" w:cs="Arial"/>
                <w:sz w:val="16"/>
                <w:szCs w:val="16"/>
              </w:rPr>
              <w:t xml:space="preserve">+1 </w:t>
            </w:r>
          </w:p>
        </w:tc>
        <w:tc>
          <w:tcPr>
            <w:tcW w:w="1100"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22 (56,4)</w:t>
            </w:r>
          </w:p>
        </w:tc>
        <w:tc>
          <w:tcPr>
            <w:tcW w:w="1135"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5 (55,5)</w:t>
            </w:r>
          </w:p>
        </w:tc>
        <w:tc>
          <w:tcPr>
            <w:tcW w:w="1004"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27 (56,2)</w:t>
            </w:r>
          </w:p>
        </w:tc>
      </w:tr>
      <w:tr w:rsidR="002A16B5" w:rsidRPr="002A16B5" w:rsidTr="002A16B5">
        <w:trPr>
          <w:trHeight w:val="268"/>
        </w:trPr>
        <w:tc>
          <w:tcPr>
            <w:tcW w:w="1214" w:type="dxa"/>
          </w:tcPr>
          <w:p w:rsidR="002A16B5" w:rsidRPr="002A16B5" w:rsidRDefault="002A16B5" w:rsidP="002A16B5">
            <w:pPr>
              <w:rPr>
                <w:rFonts w:ascii="Arial" w:hAnsi="Arial" w:cs="Arial"/>
                <w:sz w:val="16"/>
                <w:szCs w:val="16"/>
              </w:rPr>
            </w:pPr>
            <w:r w:rsidRPr="002A16B5">
              <w:rPr>
                <w:rFonts w:ascii="Arial" w:hAnsi="Arial" w:cs="Arial"/>
                <w:sz w:val="16"/>
                <w:szCs w:val="16"/>
              </w:rPr>
              <w:t xml:space="preserve">+2 </w:t>
            </w:r>
          </w:p>
        </w:tc>
        <w:tc>
          <w:tcPr>
            <w:tcW w:w="1100"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3 (7,7)</w:t>
            </w:r>
          </w:p>
        </w:tc>
        <w:tc>
          <w:tcPr>
            <w:tcW w:w="1135"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3 (33,3)</w:t>
            </w:r>
          </w:p>
        </w:tc>
        <w:tc>
          <w:tcPr>
            <w:tcW w:w="1004"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6 (12,5)</w:t>
            </w:r>
          </w:p>
        </w:tc>
      </w:tr>
      <w:tr w:rsidR="002A16B5" w:rsidRPr="002A16B5" w:rsidTr="002A16B5">
        <w:trPr>
          <w:trHeight w:val="254"/>
        </w:trPr>
        <w:tc>
          <w:tcPr>
            <w:tcW w:w="1214" w:type="dxa"/>
          </w:tcPr>
          <w:p w:rsidR="002A16B5" w:rsidRPr="002A16B5" w:rsidRDefault="002A16B5" w:rsidP="002A16B5">
            <w:pPr>
              <w:rPr>
                <w:rFonts w:ascii="Arial" w:hAnsi="Arial" w:cs="Arial"/>
                <w:sz w:val="16"/>
                <w:szCs w:val="16"/>
              </w:rPr>
            </w:pPr>
            <w:r w:rsidRPr="002A16B5">
              <w:rPr>
                <w:rFonts w:ascii="Arial" w:hAnsi="Arial" w:cs="Arial"/>
                <w:sz w:val="16"/>
                <w:szCs w:val="16"/>
              </w:rPr>
              <w:t xml:space="preserve">+3 </w:t>
            </w:r>
          </w:p>
        </w:tc>
        <w:tc>
          <w:tcPr>
            <w:tcW w:w="1100"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c>
          <w:tcPr>
            <w:tcW w:w="1135"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c>
          <w:tcPr>
            <w:tcW w:w="1004" w:type="dxa"/>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r>
      <w:tr w:rsidR="002A16B5" w:rsidRPr="002A16B5" w:rsidTr="002A16B5">
        <w:trPr>
          <w:trHeight w:val="254"/>
        </w:trPr>
        <w:tc>
          <w:tcPr>
            <w:tcW w:w="1214" w:type="dxa"/>
            <w:tcBorders>
              <w:bottom w:val="single" w:sz="4" w:space="0" w:color="auto"/>
            </w:tcBorders>
          </w:tcPr>
          <w:p w:rsidR="002A16B5" w:rsidRPr="002A16B5" w:rsidRDefault="002A16B5" w:rsidP="002A16B5">
            <w:pPr>
              <w:rPr>
                <w:rFonts w:ascii="Arial" w:hAnsi="Arial" w:cs="Arial"/>
                <w:sz w:val="16"/>
                <w:szCs w:val="16"/>
              </w:rPr>
            </w:pPr>
            <w:r w:rsidRPr="002A16B5">
              <w:rPr>
                <w:rFonts w:ascii="Arial" w:hAnsi="Arial" w:cs="Arial"/>
                <w:sz w:val="16"/>
                <w:szCs w:val="16"/>
              </w:rPr>
              <w:t xml:space="preserve">+4 </w:t>
            </w:r>
          </w:p>
        </w:tc>
        <w:tc>
          <w:tcPr>
            <w:tcW w:w="1100" w:type="dxa"/>
            <w:tcBorders>
              <w:bottom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c>
          <w:tcPr>
            <w:tcW w:w="1135" w:type="dxa"/>
            <w:tcBorders>
              <w:bottom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c>
          <w:tcPr>
            <w:tcW w:w="1004" w:type="dxa"/>
            <w:tcBorders>
              <w:bottom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0</w:t>
            </w:r>
          </w:p>
        </w:tc>
      </w:tr>
      <w:tr w:rsidR="002A16B5" w:rsidRPr="002A16B5" w:rsidTr="002A16B5">
        <w:trPr>
          <w:trHeight w:val="258"/>
        </w:trPr>
        <w:tc>
          <w:tcPr>
            <w:tcW w:w="1214" w:type="dxa"/>
            <w:tcBorders>
              <w:top w:val="single" w:sz="4" w:space="0" w:color="auto"/>
              <w:bottom w:val="single" w:sz="4" w:space="0" w:color="auto"/>
            </w:tcBorders>
          </w:tcPr>
          <w:p w:rsidR="002A16B5" w:rsidRPr="002A16B5" w:rsidRDefault="002A16B5" w:rsidP="002A16B5">
            <w:pPr>
              <w:rPr>
                <w:rFonts w:ascii="Arial" w:hAnsi="Arial" w:cs="Arial"/>
                <w:sz w:val="16"/>
                <w:szCs w:val="16"/>
              </w:rPr>
            </w:pPr>
            <w:r w:rsidRPr="002A16B5">
              <w:rPr>
                <w:rFonts w:ascii="Arial" w:hAnsi="Arial" w:cs="Arial"/>
                <w:sz w:val="16"/>
                <w:szCs w:val="16"/>
              </w:rPr>
              <w:t>Total</w:t>
            </w:r>
          </w:p>
        </w:tc>
        <w:tc>
          <w:tcPr>
            <w:tcW w:w="1100" w:type="dxa"/>
            <w:tcBorders>
              <w:top w:val="single" w:sz="4" w:space="0" w:color="auto"/>
              <w:bottom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39 (81,3)</w:t>
            </w:r>
          </w:p>
        </w:tc>
        <w:tc>
          <w:tcPr>
            <w:tcW w:w="1135" w:type="dxa"/>
            <w:tcBorders>
              <w:top w:val="single" w:sz="4" w:space="0" w:color="auto"/>
              <w:bottom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9 (18,7)</w:t>
            </w:r>
          </w:p>
        </w:tc>
        <w:tc>
          <w:tcPr>
            <w:tcW w:w="1004" w:type="dxa"/>
            <w:tcBorders>
              <w:top w:val="single" w:sz="4" w:space="0" w:color="auto"/>
              <w:bottom w:val="single" w:sz="4" w:space="0" w:color="auto"/>
            </w:tcBorders>
          </w:tcPr>
          <w:p w:rsidR="002A16B5" w:rsidRPr="002A16B5" w:rsidRDefault="002A16B5" w:rsidP="002A16B5">
            <w:pPr>
              <w:jc w:val="center"/>
              <w:rPr>
                <w:rFonts w:ascii="Arial" w:hAnsi="Arial" w:cs="Arial"/>
                <w:sz w:val="16"/>
                <w:szCs w:val="16"/>
              </w:rPr>
            </w:pPr>
            <w:r w:rsidRPr="002A16B5">
              <w:rPr>
                <w:rFonts w:ascii="Arial" w:hAnsi="Arial" w:cs="Arial"/>
                <w:sz w:val="16"/>
                <w:szCs w:val="16"/>
              </w:rPr>
              <w:t>48 (100)</w:t>
            </w:r>
          </w:p>
        </w:tc>
      </w:tr>
    </w:tbl>
    <w:p w:rsidR="002A16B5" w:rsidRDefault="002A16B5" w:rsidP="008A48AB">
      <w:pPr>
        <w:rPr>
          <w:rFonts w:ascii="Arial" w:hAnsi="Arial" w:cs="Arial"/>
          <w:sz w:val="20"/>
          <w:szCs w:val="20"/>
          <w:lang w:val="pt-BR"/>
        </w:rPr>
      </w:pPr>
    </w:p>
    <w:p w:rsidR="002A16B5" w:rsidRPr="002A16B5" w:rsidRDefault="002A16B5" w:rsidP="003E3799">
      <w:pPr>
        <w:ind w:firstLine="720"/>
        <w:rPr>
          <w:rFonts w:ascii="Arial" w:hAnsi="Arial" w:cs="Arial"/>
          <w:sz w:val="20"/>
          <w:szCs w:val="20"/>
        </w:rPr>
      </w:pPr>
      <w:r w:rsidRPr="002A16B5">
        <w:rPr>
          <w:rFonts w:ascii="Arial" w:hAnsi="Arial" w:cs="Arial"/>
          <w:sz w:val="20"/>
          <w:szCs w:val="20"/>
        </w:rPr>
        <w:t>Berdasarkan tabel 4, pada perokok dengan prehipertensi didapatkan hasil proteinuria  +2 pada 3 orang (7,7%), +1 pada 22 orang (56,4%), samar-samar (</w:t>
      </w:r>
      <w:r w:rsidRPr="002A16B5">
        <w:rPr>
          <w:rFonts w:ascii="Arial" w:hAnsi="Arial" w:cs="Arial"/>
          <w:i/>
          <w:sz w:val="20"/>
          <w:szCs w:val="20"/>
        </w:rPr>
        <w:t>trace</w:t>
      </w:r>
      <w:r w:rsidRPr="002A16B5">
        <w:rPr>
          <w:rFonts w:ascii="Arial" w:hAnsi="Arial" w:cs="Arial"/>
          <w:sz w:val="20"/>
          <w:szCs w:val="20"/>
        </w:rPr>
        <w:t>) pada 7 orang (17,9%) dan hasil proteinuria negatif pada 7 orang (17,9%). Tidak ada subyek penelitian prehipertensi yang didapatkan hasil proteinuria +3 dan +4. distribusi proteinuria perokok dengan hipertensi derajat 1 didapatkan hasil proteinuria +2 pada 3 orang (33,3%), +1 pada 5 orang (55,5%) dan samar-samar (</w:t>
      </w:r>
      <w:r w:rsidRPr="002A16B5">
        <w:rPr>
          <w:rFonts w:ascii="Arial" w:hAnsi="Arial" w:cs="Arial"/>
          <w:i/>
          <w:sz w:val="20"/>
          <w:szCs w:val="20"/>
        </w:rPr>
        <w:t>trace</w:t>
      </w:r>
      <w:r w:rsidRPr="002A16B5">
        <w:rPr>
          <w:rFonts w:ascii="Arial" w:hAnsi="Arial" w:cs="Arial"/>
          <w:sz w:val="20"/>
          <w:szCs w:val="20"/>
        </w:rPr>
        <w:t>) pada 1 orang (11,1%). Tidak ada subyek penelitian hipertensi derajat 1 yang didapatkan hasil pemeriksaan proteinuria negatif, +3 dan +4.</w:t>
      </w:r>
    </w:p>
    <w:p w:rsidR="002A16B5" w:rsidRPr="00E53FEF" w:rsidRDefault="002A16B5" w:rsidP="0093101C">
      <w:pPr>
        <w:spacing w:before="200" w:after="100" w:line="240" w:lineRule="auto"/>
        <w:rPr>
          <w:rFonts w:ascii="Arial" w:hAnsi="Arial" w:cs="Arial"/>
          <w:b/>
          <w:sz w:val="18"/>
          <w:szCs w:val="18"/>
        </w:rPr>
      </w:pPr>
      <w:r w:rsidRPr="00E53FEF">
        <w:rPr>
          <w:rFonts w:ascii="Arial" w:hAnsi="Arial" w:cs="Arial"/>
          <w:b/>
          <w:sz w:val="18"/>
          <w:szCs w:val="18"/>
        </w:rPr>
        <w:t>Tabel 5. Distribusi Proteinuria Berdasarkan Tekanan Darah Prehipertensi dan Hipertensi pada Bukan Perokok</w:t>
      </w:r>
    </w:p>
    <w:tbl>
      <w:tblPr>
        <w:tblStyle w:val="TableGrid"/>
        <w:tblW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1356"/>
        <w:gridCol w:w="1114"/>
        <w:gridCol w:w="847"/>
      </w:tblGrid>
      <w:tr w:rsidR="002A16B5" w:rsidRPr="002A16B5" w:rsidTr="00190D11">
        <w:trPr>
          <w:trHeight w:val="209"/>
        </w:trPr>
        <w:tc>
          <w:tcPr>
            <w:tcW w:w="1158" w:type="dxa"/>
            <w:vMerge w:val="restart"/>
            <w:tcBorders>
              <w:top w:val="single" w:sz="4" w:space="0" w:color="auto"/>
            </w:tcBorders>
          </w:tcPr>
          <w:p w:rsidR="002A16B5" w:rsidRPr="002A16B5" w:rsidRDefault="002A16B5" w:rsidP="00656B2D">
            <w:pPr>
              <w:spacing w:line="240" w:lineRule="auto"/>
              <w:rPr>
                <w:rFonts w:ascii="Arial" w:hAnsi="Arial" w:cs="Arial"/>
                <w:b/>
                <w:sz w:val="16"/>
                <w:szCs w:val="16"/>
              </w:rPr>
            </w:pPr>
            <w:r w:rsidRPr="002A16B5">
              <w:rPr>
                <w:rFonts w:ascii="Arial" w:hAnsi="Arial" w:cs="Arial"/>
                <w:b/>
                <w:sz w:val="16"/>
                <w:szCs w:val="16"/>
              </w:rPr>
              <w:t>Proteinuria</w:t>
            </w:r>
          </w:p>
        </w:tc>
        <w:tc>
          <w:tcPr>
            <w:tcW w:w="2470" w:type="dxa"/>
            <w:gridSpan w:val="2"/>
            <w:tcBorders>
              <w:top w:val="single" w:sz="4" w:space="0" w:color="auto"/>
            </w:tcBorders>
          </w:tcPr>
          <w:p w:rsidR="002A16B5" w:rsidRPr="002A16B5" w:rsidRDefault="002A16B5" w:rsidP="00656B2D">
            <w:pPr>
              <w:spacing w:line="240" w:lineRule="auto"/>
              <w:jc w:val="center"/>
              <w:rPr>
                <w:rFonts w:ascii="Arial" w:hAnsi="Arial" w:cs="Arial"/>
                <w:b/>
                <w:sz w:val="16"/>
                <w:szCs w:val="16"/>
              </w:rPr>
            </w:pPr>
            <w:r w:rsidRPr="002A16B5">
              <w:rPr>
                <w:rFonts w:ascii="Arial" w:hAnsi="Arial" w:cs="Arial"/>
                <w:b/>
                <w:sz w:val="16"/>
                <w:szCs w:val="16"/>
              </w:rPr>
              <w:t>Klasifikasi Tekanan Darah</w:t>
            </w:r>
          </w:p>
        </w:tc>
        <w:tc>
          <w:tcPr>
            <w:tcW w:w="847" w:type="dxa"/>
            <w:vMerge w:val="restart"/>
            <w:tcBorders>
              <w:top w:val="single" w:sz="4" w:space="0" w:color="auto"/>
            </w:tcBorders>
          </w:tcPr>
          <w:p w:rsidR="002A16B5" w:rsidRPr="002A16B5" w:rsidRDefault="002A16B5" w:rsidP="00656B2D">
            <w:pPr>
              <w:spacing w:line="240" w:lineRule="auto"/>
              <w:jc w:val="center"/>
              <w:rPr>
                <w:rFonts w:ascii="Arial" w:hAnsi="Arial" w:cs="Arial"/>
                <w:b/>
                <w:sz w:val="16"/>
                <w:szCs w:val="16"/>
              </w:rPr>
            </w:pPr>
            <w:r w:rsidRPr="002A16B5">
              <w:rPr>
                <w:rFonts w:ascii="Arial" w:hAnsi="Arial" w:cs="Arial"/>
                <w:b/>
                <w:sz w:val="16"/>
                <w:szCs w:val="16"/>
              </w:rPr>
              <w:t>Jumlah (%)</w:t>
            </w:r>
          </w:p>
        </w:tc>
      </w:tr>
      <w:tr w:rsidR="002A16B5" w:rsidRPr="002A16B5" w:rsidTr="00190D11">
        <w:trPr>
          <w:trHeight w:val="238"/>
        </w:trPr>
        <w:tc>
          <w:tcPr>
            <w:tcW w:w="1158" w:type="dxa"/>
            <w:vMerge/>
            <w:tcBorders>
              <w:bottom w:val="single" w:sz="4" w:space="0" w:color="auto"/>
            </w:tcBorders>
          </w:tcPr>
          <w:p w:rsidR="002A16B5" w:rsidRPr="002A16B5" w:rsidRDefault="002A16B5" w:rsidP="00656B2D">
            <w:pPr>
              <w:spacing w:line="240" w:lineRule="auto"/>
              <w:rPr>
                <w:rFonts w:ascii="Arial" w:hAnsi="Arial" w:cs="Arial"/>
                <w:b/>
                <w:sz w:val="16"/>
                <w:szCs w:val="16"/>
              </w:rPr>
            </w:pPr>
          </w:p>
        </w:tc>
        <w:tc>
          <w:tcPr>
            <w:tcW w:w="1356" w:type="dxa"/>
            <w:tcBorders>
              <w:bottom w:val="single" w:sz="4" w:space="0" w:color="auto"/>
            </w:tcBorders>
          </w:tcPr>
          <w:p w:rsidR="002A16B5" w:rsidRPr="002A16B5" w:rsidRDefault="002A16B5" w:rsidP="00656B2D">
            <w:pPr>
              <w:spacing w:line="240" w:lineRule="auto"/>
              <w:jc w:val="center"/>
              <w:rPr>
                <w:rFonts w:ascii="Arial" w:hAnsi="Arial" w:cs="Arial"/>
                <w:b/>
                <w:sz w:val="16"/>
                <w:szCs w:val="16"/>
              </w:rPr>
            </w:pPr>
            <w:r w:rsidRPr="002A16B5">
              <w:rPr>
                <w:rFonts w:ascii="Arial" w:hAnsi="Arial" w:cs="Arial"/>
                <w:b/>
                <w:sz w:val="16"/>
                <w:szCs w:val="16"/>
              </w:rPr>
              <w:t>Prehipertensi (%)</w:t>
            </w:r>
          </w:p>
        </w:tc>
        <w:tc>
          <w:tcPr>
            <w:tcW w:w="1114" w:type="dxa"/>
            <w:tcBorders>
              <w:bottom w:val="single" w:sz="4" w:space="0" w:color="auto"/>
            </w:tcBorders>
          </w:tcPr>
          <w:p w:rsidR="002A16B5" w:rsidRPr="002A16B5" w:rsidRDefault="002A16B5" w:rsidP="00656B2D">
            <w:pPr>
              <w:spacing w:line="240" w:lineRule="auto"/>
              <w:jc w:val="center"/>
              <w:rPr>
                <w:rFonts w:ascii="Arial" w:hAnsi="Arial" w:cs="Arial"/>
                <w:b/>
                <w:sz w:val="16"/>
                <w:szCs w:val="16"/>
              </w:rPr>
            </w:pPr>
            <w:r w:rsidRPr="002A16B5">
              <w:rPr>
                <w:rFonts w:ascii="Arial" w:hAnsi="Arial" w:cs="Arial"/>
                <w:b/>
                <w:sz w:val="16"/>
                <w:szCs w:val="16"/>
              </w:rPr>
              <w:t>Hipertensi (%)</w:t>
            </w:r>
          </w:p>
        </w:tc>
        <w:tc>
          <w:tcPr>
            <w:tcW w:w="847" w:type="dxa"/>
            <w:vMerge/>
            <w:tcBorders>
              <w:bottom w:val="single" w:sz="4" w:space="0" w:color="auto"/>
            </w:tcBorders>
          </w:tcPr>
          <w:p w:rsidR="002A16B5" w:rsidRPr="002A16B5" w:rsidRDefault="002A16B5" w:rsidP="00656B2D">
            <w:pPr>
              <w:spacing w:line="240" w:lineRule="auto"/>
              <w:jc w:val="center"/>
              <w:rPr>
                <w:rFonts w:ascii="Arial" w:hAnsi="Arial" w:cs="Arial"/>
                <w:b/>
                <w:sz w:val="16"/>
                <w:szCs w:val="16"/>
              </w:rPr>
            </w:pPr>
          </w:p>
        </w:tc>
      </w:tr>
      <w:tr w:rsidR="002A16B5" w:rsidRPr="002A16B5" w:rsidTr="00190D11">
        <w:trPr>
          <w:trHeight w:val="184"/>
        </w:trPr>
        <w:tc>
          <w:tcPr>
            <w:tcW w:w="1158" w:type="dxa"/>
            <w:tcBorders>
              <w:top w:val="single" w:sz="4" w:space="0" w:color="auto"/>
            </w:tcBorders>
          </w:tcPr>
          <w:p w:rsidR="002A16B5" w:rsidRPr="002A16B5" w:rsidRDefault="002A16B5" w:rsidP="00656B2D">
            <w:pPr>
              <w:spacing w:line="240" w:lineRule="auto"/>
              <w:rPr>
                <w:rFonts w:ascii="Arial" w:hAnsi="Arial" w:cs="Arial"/>
                <w:sz w:val="16"/>
                <w:szCs w:val="16"/>
              </w:rPr>
            </w:pPr>
            <w:r w:rsidRPr="002A16B5">
              <w:rPr>
                <w:rFonts w:ascii="Arial" w:hAnsi="Arial" w:cs="Arial"/>
                <w:sz w:val="16"/>
                <w:szCs w:val="16"/>
              </w:rPr>
              <w:t>Negatif</w:t>
            </w:r>
          </w:p>
        </w:tc>
        <w:tc>
          <w:tcPr>
            <w:tcW w:w="1356" w:type="dxa"/>
            <w:tcBorders>
              <w:top w:val="single" w:sz="4" w:space="0" w:color="auto"/>
            </w:tcBorders>
          </w:tcPr>
          <w:p w:rsidR="00190D11" w:rsidRDefault="002A16B5" w:rsidP="00656B2D">
            <w:pPr>
              <w:spacing w:line="240" w:lineRule="auto"/>
              <w:jc w:val="center"/>
              <w:rPr>
                <w:rFonts w:ascii="Arial" w:hAnsi="Arial" w:cs="Arial"/>
                <w:sz w:val="16"/>
                <w:szCs w:val="16"/>
              </w:rPr>
            </w:pPr>
            <w:r w:rsidRPr="002A16B5">
              <w:rPr>
                <w:rFonts w:ascii="Arial" w:hAnsi="Arial" w:cs="Arial"/>
                <w:sz w:val="16"/>
                <w:szCs w:val="16"/>
              </w:rPr>
              <w:t xml:space="preserve">17 </w:t>
            </w:r>
          </w:p>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(44,7)</w:t>
            </w:r>
          </w:p>
        </w:tc>
        <w:tc>
          <w:tcPr>
            <w:tcW w:w="1114" w:type="dxa"/>
            <w:tcBorders>
              <w:top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847" w:type="dxa"/>
            <w:tcBorders>
              <w:top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17 (36,9)</w:t>
            </w:r>
          </w:p>
        </w:tc>
      </w:tr>
      <w:tr w:rsidR="002A16B5" w:rsidRPr="002A16B5" w:rsidTr="00190D11">
        <w:trPr>
          <w:trHeight w:val="248"/>
        </w:trPr>
        <w:tc>
          <w:tcPr>
            <w:tcW w:w="1158" w:type="dxa"/>
          </w:tcPr>
          <w:p w:rsidR="002A16B5" w:rsidRPr="002A16B5" w:rsidRDefault="002A16B5" w:rsidP="00656B2D">
            <w:pPr>
              <w:spacing w:line="240" w:lineRule="auto"/>
              <w:rPr>
                <w:rFonts w:ascii="Arial" w:hAnsi="Arial" w:cs="Arial"/>
                <w:sz w:val="16"/>
                <w:szCs w:val="16"/>
              </w:rPr>
            </w:pPr>
            <w:r w:rsidRPr="002A16B5">
              <w:rPr>
                <w:rFonts w:ascii="Arial" w:hAnsi="Arial" w:cs="Arial"/>
                <w:i/>
                <w:sz w:val="16"/>
                <w:szCs w:val="16"/>
              </w:rPr>
              <w:t>Trace</w:t>
            </w:r>
            <w:r w:rsidRPr="002A16B5">
              <w:rPr>
                <w:rFonts w:ascii="Arial" w:hAnsi="Arial" w:cs="Arial"/>
                <w:sz w:val="16"/>
                <w:szCs w:val="16"/>
              </w:rPr>
              <w:t xml:space="preserve"> </w:t>
            </w:r>
          </w:p>
        </w:tc>
        <w:tc>
          <w:tcPr>
            <w:tcW w:w="1356" w:type="dxa"/>
          </w:tcPr>
          <w:p w:rsidR="00190D11" w:rsidRDefault="002A16B5" w:rsidP="00656B2D">
            <w:pPr>
              <w:spacing w:line="240" w:lineRule="auto"/>
              <w:jc w:val="center"/>
              <w:rPr>
                <w:rFonts w:ascii="Arial" w:hAnsi="Arial" w:cs="Arial"/>
                <w:sz w:val="16"/>
                <w:szCs w:val="16"/>
              </w:rPr>
            </w:pPr>
            <w:r w:rsidRPr="002A16B5">
              <w:rPr>
                <w:rFonts w:ascii="Arial" w:hAnsi="Arial" w:cs="Arial"/>
                <w:sz w:val="16"/>
                <w:szCs w:val="16"/>
              </w:rPr>
              <w:t xml:space="preserve">11 </w:t>
            </w:r>
          </w:p>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(28,9)</w:t>
            </w:r>
          </w:p>
        </w:tc>
        <w:tc>
          <w:tcPr>
            <w:tcW w:w="1114" w:type="dxa"/>
          </w:tcPr>
          <w:p w:rsidR="00190D11" w:rsidRDefault="002A16B5" w:rsidP="00656B2D">
            <w:pPr>
              <w:spacing w:line="240" w:lineRule="auto"/>
              <w:jc w:val="center"/>
              <w:rPr>
                <w:rFonts w:ascii="Arial" w:hAnsi="Arial" w:cs="Arial"/>
                <w:sz w:val="16"/>
                <w:szCs w:val="16"/>
              </w:rPr>
            </w:pPr>
            <w:r w:rsidRPr="002A16B5">
              <w:rPr>
                <w:rFonts w:ascii="Arial" w:hAnsi="Arial" w:cs="Arial"/>
                <w:sz w:val="16"/>
                <w:szCs w:val="16"/>
              </w:rPr>
              <w:t xml:space="preserve">6 </w:t>
            </w:r>
          </w:p>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(75)</w:t>
            </w:r>
          </w:p>
        </w:tc>
        <w:tc>
          <w:tcPr>
            <w:tcW w:w="847"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17 (36,9)</w:t>
            </w:r>
          </w:p>
        </w:tc>
      </w:tr>
      <w:tr w:rsidR="002A16B5" w:rsidRPr="002A16B5" w:rsidTr="00190D11">
        <w:trPr>
          <w:trHeight w:val="278"/>
        </w:trPr>
        <w:tc>
          <w:tcPr>
            <w:tcW w:w="1158" w:type="dxa"/>
          </w:tcPr>
          <w:p w:rsidR="002A16B5" w:rsidRPr="002A16B5" w:rsidRDefault="002A16B5" w:rsidP="00656B2D">
            <w:pPr>
              <w:spacing w:line="240" w:lineRule="auto"/>
              <w:rPr>
                <w:rFonts w:ascii="Arial" w:hAnsi="Arial" w:cs="Arial"/>
                <w:sz w:val="16"/>
                <w:szCs w:val="16"/>
              </w:rPr>
            </w:pPr>
            <w:r w:rsidRPr="002A16B5">
              <w:rPr>
                <w:rFonts w:ascii="Arial" w:hAnsi="Arial" w:cs="Arial"/>
                <w:sz w:val="16"/>
                <w:szCs w:val="16"/>
              </w:rPr>
              <w:t xml:space="preserve">+1 </w:t>
            </w:r>
          </w:p>
        </w:tc>
        <w:tc>
          <w:tcPr>
            <w:tcW w:w="1356" w:type="dxa"/>
          </w:tcPr>
          <w:p w:rsidR="00190D11" w:rsidRDefault="002A16B5" w:rsidP="00656B2D">
            <w:pPr>
              <w:spacing w:line="240" w:lineRule="auto"/>
              <w:jc w:val="center"/>
              <w:rPr>
                <w:rFonts w:ascii="Arial" w:hAnsi="Arial" w:cs="Arial"/>
                <w:sz w:val="16"/>
                <w:szCs w:val="16"/>
              </w:rPr>
            </w:pPr>
            <w:r w:rsidRPr="002A16B5">
              <w:rPr>
                <w:rFonts w:ascii="Arial" w:hAnsi="Arial" w:cs="Arial"/>
                <w:sz w:val="16"/>
                <w:szCs w:val="16"/>
              </w:rPr>
              <w:t xml:space="preserve">10 </w:t>
            </w:r>
          </w:p>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(26,3)</w:t>
            </w:r>
          </w:p>
        </w:tc>
        <w:tc>
          <w:tcPr>
            <w:tcW w:w="1114" w:type="dxa"/>
          </w:tcPr>
          <w:p w:rsidR="00190D11" w:rsidRDefault="002A16B5" w:rsidP="00656B2D">
            <w:pPr>
              <w:spacing w:line="240" w:lineRule="auto"/>
              <w:jc w:val="center"/>
              <w:rPr>
                <w:rFonts w:ascii="Arial" w:hAnsi="Arial" w:cs="Arial"/>
                <w:sz w:val="16"/>
                <w:szCs w:val="16"/>
              </w:rPr>
            </w:pPr>
            <w:r w:rsidRPr="002A16B5">
              <w:rPr>
                <w:rFonts w:ascii="Arial" w:hAnsi="Arial" w:cs="Arial"/>
                <w:sz w:val="16"/>
                <w:szCs w:val="16"/>
              </w:rPr>
              <w:t xml:space="preserve">2 </w:t>
            </w:r>
          </w:p>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(25)</w:t>
            </w:r>
          </w:p>
        </w:tc>
        <w:tc>
          <w:tcPr>
            <w:tcW w:w="847"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12 (26,1)</w:t>
            </w:r>
          </w:p>
        </w:tc>
      </w:tr>
      <w:tr w:rsidR="002A16B5" w:rsidRPr="002A16B5" w:rsidTr="00190D11">
        <w:trPr>
          <w:trHeight w:val="252"/>
        </w:trPr>
        <w:tc>
          <w:tcPr>
            <w:tcW w:w="1158" w:type="dxa"/>
          </w:tcPr>
          <w:p w:rsidR="002A16B5" w:rsidRPr="002A16B5" w:rsidRDefault="002A16B5" w:rsidP="00656B2D">
            <w:pPr>
              <w:spacing w:line="240" w:lineRule="auto"/>
              <w:rPr>
                <w:rFonts w:ascii="Arial" w:hAnsi="Arial" w:cs="Arial"/>
                <w:sz w:val="16"/>
                <w:szCs w:val="16"/>
              </w:rPr>
            </w:pPr>
            <w:r w:rsidRPr="002A16B5">
              <w:rPr>
                <w:rFonts w:ascii="Arial" w:hAnsi="Arial" w:cs="Arial"/>
                <w:sz w:val="16"/>
                <w:szCs w:val="16"/>
              </w:rPr>
              <w:t xml:space="preserve">+2 </w:t>
            </w:r>
          </w:p>
        </w:tc>
        <w:tc>
          <w:tcPr>
            <w:tcW w:w="1356"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1114"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847"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r>
      <w:tr w:rsidR="002A16B5" w:rsidRPr="002A16B5" w:rsidTr="00190D11">
        <w:trPr>
          <w:trHeight w:val="260"/>
        </w:trPr>
        <w:tc>
          <w:tcPr>
            <w:tcW w:w="1158" w:type="dxa"/>
          </w:tcPr>
          <w:p w:rsidR="002A16B5" w:rsidRPr="002A16B5" w:rsidRDefault="002A16B5" w:rsidP="00656B2D">
            <w:pPr>
              <w:spacing w:line="240" w:lineRule="auto"/>
              <w:rPr>
                <w:rFonts w:ascii="Arial" w:hAnsi="Arial" w:cs="Arial"/>
                <w:sz w:val="16"/>
                <w:szCs w:val="16"/>
              </w:rPr>
            </w:pPr>
            <w:r w:rsidRPr="002A16B5">
              <w:rPr>
                <w:rFonts w:ascii="Arial" w:hAnsi="Arial" w:cs="Arial"/>
                <w:sz w:val="16"/>
                <w:szCs w:val="16"/>
              </w:rPr>
              <w:t xml:space="preserve">+3 </w:t>
            </w:r>
          </w:p>
        </w:tc>
        <w:tc>
          <w:tcPr>
            <w:tcW w:w="1356"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1114"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847" w:type="dxa"/>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r>
      <w:tr w:rsidR="002A16B5" w:rsidRPr="002A16B5" w:rsidTr="00190D11">
        <w:trPr>
          <w:trHeight w:val="199"/>
        </w:trPr>
        <w:tc>
          <w:tcPr>
            <w:tcW w:w="1158" w:type="dxa"/>
            <w:tcBorders>
              <w:bottom w:val="single" w:sz="4" w:space="0" w:color="auto"/>
            </w:tcBorders>
          </w:tcPr>
          <w:p w:rsidR="002A16B5" w:rsidRPr="002A16B5" w:rsidRDefault="002A16B5" w:rsidP="00656B2D">
            <w:pPr>
              <w:spacing w:line="240" w:lineRule="auto"/>
              <w:rPr>
                <w:rFonts w:ascii="Arial" w:hAnsi="Arial" w:cs="Arial"/>
                <w:sz w:val="16"/>
                <w:szCs w:val="16"/>
              </w:rPr>
            </w:pPr>
            <w:r w:rsidRPr="002A16B5">
              <w:rPr>
                <w:rFonts w:ascii="Arial" w:hAnsi="Arial" w:cs="Arial"/>
                <w:sz w:val="16"/>
                <w:szCs w:val="16"/>
              </w:rPr>
              <w:t xml:space="preserve">+4 </w:t>
            </w:r>
          </w:p>
        </w:tc>
        <w:tc>
          <w:tcPr>
            <w:tcW w:w="1356" w:type="dxa"/>
            <w:tcBorders>
              <w:bottom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1114" w:type="dxa"/>
            <w:tcBorders>
              <w:bottom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c>
          <w:tcPr>
            <w:tcW w:w="847" w:type="dxa"/>
            <w:tcBorders>
              <w:bottom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0</w:t>
            </w:r>
          </w:p>
        </w:tc>
      </w:tr>
      <w:tr w:rsidR="002A16B5" w:rsidRPr="002A16B5" w:rsidTr="00190D11">
        <w:trPr>
          <w:trHeight w:val="189"/>
        </w:trPr>
        <w:tc>
          <w:tcPr>
            <w:tcW w:w="1158" w:type="dxa"/>
            <w:tcBorders>
              <w:top w:val="single" w:sz="4" w:space="0" w:color="auto"/>
              <w:bottom w:val="single" w:sz="4" w:space="0" w:color="auto"/>
            </w:tcBorders>
          </w:tcPr>
          <w:p w:rsidR="002A16B5" w:rsidRPr="002A16B5" w:rsidRDefault="002A16B5" w:rsidP="00656B2D">
            <w:pPr>
              <w:spacing w:line="240" w:lineRule="auto"/>
              <w:rPr>
                <w:rFonts w:ascii="Arial" w:hAnsi="Arial" w:cs="Arial"/>
                <w:sz w:val="16"/>
                <w:szCs w:val="16"/>
              </w:rPr>
            </w:pPr>
            <w:r w:rsidRPr="002A16B5">
              <w:rPr>
                <w:rFonts w:ascii="Arial" w:hAnsi="Arial" w:cs="Arial"/>
                <w:sz w:val="16"/>
                <w:szCs w:val="16"/>
              </w:rPr>
              <w:t>Total</w:t>
            </w:r>
          </w:p>
        </w:tc>
        <w:tc>
          <w:tcPr>
            <w:tcW w:w="1356" w:type="dxa"/>
            <w:tcBorders>
              <w:top w:val="single" w:sz="4" w:space="0" w:color="auto"/>
              <w:bottom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38 (82,6)</w:t>
            </w:r>
          </w:p>
        </w:tc>
        <w:tc>
          <w:tcPr>
            <w:tcW w:w="1114" w:type="dxa"/>
            <w:tcBorders>
              <w:top w:val="single" w:sz="4" w:space="0" w:color="auto"/>
              <w:bottom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8 (17,4)</w:t>
            </w:r>
          </w:p>
        </w:tc>
        <w:tc>
          <w:tcPr>
            <w:tcW w:w="847" w:type="dxa"/>
            <w:tcBorders>
              <w:top w:val="single" w:sz="4" w:space="0" w:color="auto"/>
              <w:bottom w:val="single" w:sz="4" w:space="0" w:color="auto"/>
            </w:tcBorders>
          </w:tcPr>
          <w:p w:rsidR="002A16B5" w:rsidRPr="002A16B5" w:rsidRDefault="002A16B5" w:rsidP="00656B2D">
            <w:pPr>
              <w:spacing w:line="240" w:lineRule="auto"/>
              <w:jc w:val="center"/>
              <w:rPr>
                <w:rFonts w:ascii="Arial" w:hAnsi="Arial" w:cs="Arial"/>
                <w:sz w:val="16"/>
                <w:szCs w:val="16"/>
              </w:rPr>
            </w:pPr>
            <w:r w:rsidRPr="002A16B5">
              <w:rPr>
                <w:rFonts w:ascii="Arial" w:hAnsi="Arial" w:cs="Arial"/>
                <w:sz w:val="16"/>
                <w:szCs w:val="16"/>
              </w:rPr>
              <w:t>46 (100)</w:t>
            </w:r>
          </w:p>
        </w:tc>
      </w:tr>
    </w:tbl>
    <w:p w:rsidR="002A16B5" w:rsidRDefault="002A16B5" w:rsidP="008A48AB">
      <w:pPr>
        <w:rPr>
          <w:rFonts w:ascii="Arial" w:hAnsi="Arial" w:cs="Arial"/>
          <w:sz w:val="20"/>
          <w:szCs w:val="20"/>
          <w:lang w:val="pt-BR"/>
        </w:rPr>
      </w:pPr>
    </w:p>
    <w:p w:rsidR="00190D11" w:rsidRDefault="00190D11" w:rsidP="00CE1681">
      <w:pPr>
        <w:ind w:firstLine="720"/>
        <w:rPr>
          <w:rFonts w:ascii="Arial" w:hAnsi="Arial" w:cs="Arial"/>
          <w:sz w:val="20"/>
          <w:szCs w:val="20"/>
        </w:rPr>
      </w:pPr>
      <w:r w:rsidRPr="00190D11">
        <w:rPr>
          <w:rFonts w:ascii="Arial" w:hAnsi="Arial" w:cs="Arial"/>
          <w:sz w:val="20"/>
          <w:szCs w:val="20"/>
        </w:rPr>
        <w:t>Tabel 5 menunjukkan pada subyek bukan perokok dengan prehipertensi didapatkan hasil proteinuria +1 pada 10 subyek (26,3%), samar-samar (</w:t>
      </w:r>
      <w:r w:rsidRPr="00190D11">
        <w:rPr>
          <w:rFonts w:ascii="Arial" w:hAnsi="Arial" w:cs="Arial"/>
          <w:i/>
          <w:sz w:val="20"/>
          <w:szCs w:val="20"/>
        </w:rPr>
        <w:t>trace</w:t>
      </w:r>
      <w:r w:rsidRPr="00190D11">
        <w:rPr>
          <w:rFonts w:ascii="Arial" w:hAnsi="Arial" w:cs="Arial"/>
          <w:sz w:val="20"/>
          <w:szCs w:val="20"/>
        </w:rPr>
        <w:t>) pada 11 subyek (28,9%), dan negatif pada 17 orang (44,7%). Tidak ada subyek penelitian yang didapatkan hasil proteinuria +2, +3 dan +4. Pada subyek dengan hipertensi didapatkan hasil proteinuria +1 pada 2 subyek (25%) dan samar-samar (</w:t>
      </w:r>
      <w:r w:rsidRPr="00190D11">
        <w:rPr>
          <w:rFonts w:ascii="Arial" w:hAnsi="Arial" w:cs="Arial"/>
          <w:i/>
          <w:sz w:val="20"/>
          <w:szCs w:val="20"/>
        </w:rPr>
        <w:t>trace</w:t>
      </w:r>
      <w:r w:rsidRPr="00190D11">
        <w:rPr>
          <w:rFonts w:ascii="Arial" w:hAnsi="Arial" w:cs="Arial"/>
          <w:sz w:val="20"/>
          <w:szCs w:val="20"/>
        </w:rPr>
        <w:t>) pada 6 subyek (75%). Tidak ditemukan subyek penelitian dengan hipertensi yang didapatkan proteinuria negatif,+2, +3 dan +4</w:t>
      </w:r>
      <w:r>
        <w:rPr>
          <w:rFonts w:ascii="Arial" w:hAnsi="Arial" w:cs="Arial"/>
          <w:sz w:val="20"/>
          <w:szCs w:val="20"/>
        </w:rPr>
        <w:t>.</w:t>
      </w:r>
    </w:p>
    <w:p w:rsidR="00656B2D" w:rsidRDefault="00656B2D" w:rsidP="00CE1681">
      <w:pPr>
        <w:spacing w:before="200"/>
        <w:rPr>
          <w:rFonts w:ascii="Arial" w:hAnsi="Arial" w:cs="Arial"/>
          <w:b/>
          <w:sz w:val="18"/>
          <w:szCs w:val="18"/>
        </w:rPr>
      </w:pPr>
    </w:p>
    <w:p w:rsidR="00656B2D" w:rsidRDefault="00656B2D" w:rsidP="00CE1681">
      <w:pPr>
        <w:spacing w:before="200"/>
        <w:rPr>
          <w:rFonts w:ascii="Arial" w:hAnsi="Arial" w:cs="Arial"/>
          <w:b/>
          <w:sz w:val="18"/>
          <w:szCs w:val="18"/>
        </w:rPr>
      </w:pPr>
    </w:p>
    <w:p w:rsidR="00656B2D" w:rsidRDefault="00656B2D" w:rsidP="00CE1681">
      <w:pPr>
        <w:spacing w:before="200"/>
        <w:rPr>
          <w:rFonts w:ascii="Arial" w:hAnsi="Arial" w:cs="Arial"/>
          <w:b/>
          <w:sz w:val="18"/>
          <w:szCs w:val="18"/>
        </w:rPr>
      </w:pPr>
    </w:p>
    <w:p w:rsidR="00190D11" w:rsidRPr="00E53FEF" w:rsidRDefault="00190D11" w:rsidP="0093101C">
      <w:pPr>
        <w:spacing w:before="200" w:after="100" w:line="240" w:lineRule="auto"/>
        <w:rPr>
          <w:rFonts w:ascii="Arial" w:hAnsi="Arial" w:cs="Arial"/>
          <w:b/>
          <w:sz w:val="18"/>
          <w:szCs w:val="18"/>
        </w:rPr>
      </w:pPr>
      <w:r w:rsidRPr="00E53FEF">
        <w:rPr>
          <w:rFonts w:ascii="Arial" w:hAnsi="Arial" w:cs="Arial"/>
          <w:b/>
          <w:sz w:val="18"/>
          <w:szCs w:val="18"/>
        </w:rPr>
        <w:t>Tabel 6. Korelasi Kebiasaan Merokok dengan Proteinuria pada Prehipertensi</w:t>
      </w:r>
    </w:p>
    <w:tbl>
      <w:tblPr>
        <w:tblpPr w:leftFromText="180" w:rightFromText="180" w:vertAnchor="text" w:tblpY="1"/>
        <w:tblW w:w="5130" w:type="dxa"/>
        <w:tblBorders>
          <w:top w:val="single" w:sz="4" w:space="0" w:color="auto"/>
          <w:bottom w:val="single" w:sz="4" w:space="0" w:color="auto"/>
        </w:tblBorders>
        <w:tblLook w:val="05A0" w:firstRow="1" w:lastRow="0" w:firstColumn="1" w:lastColumn="1" w:noHBand="0" w:noVBand="1"/>
      </w:tblPr>
      <w:tblGrid>
        <w:gridCol w:w="1017"/>
        <w:gridCol w:w="1082"/>
        <w:gridCol w:w="1061"/>
        <w:gridCol w:w="657"/>
        <w:gridCol w:w="1313"/>
      </w:tblGrid>
      <w:tr w:rsidR="00190D11" w:rsidRPr="0093101C" w:rsidTr="0093101C">
        <w:trPr>
          <w:trHeight w:val="288"/>
        </w:trPr>
        <w:tc>
          <w:tcPr>
            <w:tcW w:w="1017" w:type="dxa"/>
            <w:vMerge w:val="restart"/>
            <w:tcBorders>
              <w:top w:val="single" w:sz="4" w:space="0" w:color="auto"/>
              <w:bottom w:val="nil"/>
            </w:tcBorders>
            <w:shd w:val="clear" w:color="auto" w:fill="FFFFFF"/>
            <w:vAlign w:val="center"/>
          </w:tcPr>
          <w:p w:rsidR="00190D11" w:rsidRPr="0093101C" w:rsidRDefault="00190D11" w:rsidP="00656B2D">
            <w:pPr>
              <w:spacing w:after="160" w:line="240" w:lineRule="auto"/>
              <w:jc w:val="left"/>
              <w:rPr>
                <w:rFonts w:ascii="Arial" w:eastAsiaTheme="minorHAnsi" w:hAnsi="Arial" w:cs="Arial"/>
                <w:b/>
                <w:bCs/>
                <w:sz w:val="16"/>
                <w:szCs w:val="16"/>
              </w:rPr>
            </w:pPr>
            <w:r w:rsidRPr="0093101C">
              <w:rPr>
                <w:rFonts w:ascii="Arial" w:eastAsiaTheme="minorHAnsi" w:hAnsi="Arial" w:cs="Arial"/>
                <w:b/>
                <w:bCs/>
                <w:sz w:val="16"/>
                <w:szCs w:val="16"/>
              </w:rPr>
              <w:t>Kebiasaan Merokok</w:t>
            </w:r>
          </w:p>
        </w:tc>
        <w:tc>
          <w:tcPr>
            <w:tcW w:w="2143" w:type="dxa"/>
            <w:gridSpan w:val="2"/>
            <w:tcBorders>
              <w:top w:val="single" w:sz="4" w:space="0" w:color="auto"/>
              <w:bottom w:val="nil"/>
            </w:tcBorders>
            <w:shd w:val="clear" w:color="auto" w:fill="FFFFFF"/>
            <w:vAlign w:val="center"/>
          </w:tcPr>
          <w:p w:rsidR="00190D11" w:rsidRPr="0093101C" w:rsidRDefault="00190D11" w:rsidP="00656B2D">
            <w:pPr>
              <w:spacing w:after="160" w:line="240" w:lineRule="auto"/>
              <w:jc w:val="center"/>
              <w:rPr>
                <w:rFonts w:ascii="Arial" w:eastAsiaTheme="minorHAnsi" w:hAnsi="Arial" w:cs="Arial"/>
                <w:b/>
                <w:bCs/>
                <w:sz w:val="16"/>
                <w:szCs w:val="16"/>
              </w:rPr>
            </w:pPr>
            <w:r w:rsidRPr="0093101C">
              <w:rPr>
                <w:rFonts w:ascii="Arial" w:eastAsiaTheme="minorHAnsi" w:hAnsi="Arial" w:cs="Arial"/>
                <w:b/>
                <w:bCs/>
                <w:sz w:val="16"/>
                <w:szCs w:val="16"/>
              </w:rPr>
              <w:t>Jumlah Subyek</w:t>
            </w:r>
          </w:p>
        </w:tc>
        <w:tc>
          <w:tcPr>
            <w:tcW w:w="657" w:type="dxa"/>
            <w:vMerge w:val="restart"/>
            <w:tcBorders>
              <w:top w:val="single" w:sz="4" w:space="0" w:color="auto"/>
              <w:bottom w:val="nil"/>
            </w:tcBorders>
            <w:shd w:val="clear" w:color="auto" w:fill="FFFFFF"/>
            <w:vAlign w:val="center"/>
          </w:tcPr>
          <w:p w:rsidR="00190D11" w:rsidRPr="0093101C" w:rsidRDefault="00190D11" w:rsidP="00656B2D">
            <w:pPr>
              <w:spacing w:after="160" w:line="240" w:lineRule="auto"/>
              <w:jc w:val="left"/>
              <w:rPr>
                <w:rFonts w:ascii="Arial" w:eastAsiaTheme="minorHAnsi" w:hAnsi="Arial" w:cs="Arial"/>
                <w:b/>
                <w:bCs/>
                <w:sz w:val="16"/>
                <w:szCs w:val="16"/>
              </w:rPr>
            </w:pPr>
            <w:r w:rsidRPr="0093101C">
              <w:rPr>
                <w:rFonts w:ascii="Arial" w:eastAsiaTheme="minorHAnsi" w:hAnsi="Arial" w:cs="Arial"/>
                <w:b/>
                <w:bCs/>
                <w:sz w:val="16"/>
                <w:szCs w:val="16"/>
              </w:rPr>
              <w:t xml:space="preserve">     P</w:t>
            </w:r>
          </w:p>
        </w:tc>
        <w:tc>
          <w:tcPr>
            <w:tcW w:w="1313" w:type="dxa"/>
            <w:vMerge w:val="restart"/>
            <w:tcBorders>
              <w:top w:val="single" w:sz="4" w:space="0" w:color="auto"/>
              <w:bottom w:val="nil"/>
            </w:tcBorders>
            <w:shd w:val="clear" w:color="auto" w:fill="FFFFFF"/>
            <w:vAlign w:val="center"/>
          </w:tcPr>
          <w:p w:rsidR="00190D11" w:rsidRPr="0093101C" w:rsidRDefault="00190D11" w:rsidP="00656B2D">
            <w:pPr>
              <w:spacing w:after="160" w:line="240" w:lineRule="auto"/>
              <w:jc w:val="center"/>
              <w:rPr>
                <w:rFonts w:ascii="Arial" w:eastAsiaTheme="minorHAnsi" w:hAnsi="Arial" w:cs="Arial"/>
                <w:b/>
                <w:bCs/>
                <w:sz w:val="16"/>
                <w:szCs w:val="16"/>
              </w:rPr>
            </w:pPr>
            <w:r w:rsidRPr="0093101C">
              <w:rPr>
                <w:rFonts w:ascii="Arial" w:eastAsiaTheme="minorHAnsi" w:hAnsi="Arial" w:cs="Arial"/>
                <w:b/>
                <w:bCs/>
                <w:sz w:val="16"/>
                <w:szCs w:val="16"/>
              </w:rPr>
              <w:t>OR (CI=95%)</w:t>
            </w:r>
          </w:p>
        </w:tc>
      </w:tr>
      <w:tr w:rsidR="00190D11" w:rsidRPr="0093101C" w:rsidTr="00C055D7">
        <w:trPr>
          <w:trHeight w:val="459"/>
        </w:trPr>
        <w:tc>
          <w:tcPr>
            <w:tcW w:w="1017" w:type="dxa"/>
            <w:vMerge/>
            <w:tcBorders>
              <w:top w:val="nil"/>
              <w:bottom w:val="single" w:sz="4" w:space="0" w:color="auto"/>
            </w:tcBorders>
            <w:shd w:val="clear" w:color="auto" w:fill="FFFFFF"/>
          </w:tcPr>
          <w:p w:rsidR="00190D11" w:rsidRPr="0093101C" w:rsidRDefault="00190D11" w:rsidP="00656B2D">
            <w:pPr>
              <w:spacing w:after="160" w:line="240" w:lineRule="auto"/>
              <w:jc w:val="left"/>
              <w:rPr>
                <w:rFonts w:ascii="Arial" w:eastAsiaTheme="minorHAnsi" w:hAnsi="Arial" w:cs="Arial"/>
                <w:b/>
                <w:bCs/>
                <w:sz w:val="16"/>
                <w:szCs w:val="16"/>
              </w:rPr>
            </w:pPr>
          </w:p>
        </w:tc>
        <w:tc>
          <w:tcPr>
            <w:tcW w:w="1082" w:type="dxa"/>
            <w:tcBorders>
              <w:top w:val="nil"/>
              <w:bottom w:val="single" w:sz="4" w:space="0" w:color="auto"/>
            </w:tcBorders>
            <w:shd w:val="clear" w:color="auto" w:fill="FFFFFF"/>
            <w:vAlign w:val="center"/>
          </w:tcPr>
          <w:p w:rsidR="00190D11" w:rsidRPr="0093101C" w:rsidRDefault="00190D11" w:rsidP="00656B2D">
            <w:pPr>
              <w:spacing w:after="160" w:line="240" w:lineRule="auto"/>
              <w:jc w:val="center"/>
              <w:rPr>
                <w:rFonts w:ascii="Arial" w:eastAsiaTheme="minorHAnsi" w:hAnsi="Arial" w:cs="Arial"/>
                <w:b/>
                <w:bCs/>
                <w:sz w:val="16"/>
                <w:szCs w:val="16"/>
              </w:rPr>
            </w:pPr>
            <w:r w:rsidRPr="0093101C">
              <w:rPr>
                <w:rFonts w:ascii="Arial" w:eastAsiaTheme="minorHAnsi" w:hAnsi="Arial" w:cs="Arial"/>
                <w:b/>
                <w:bCs/>
                <w:sz w:val="16"/>
                <w:szCs w:val="16"/>
              </w:rPr>
              <w:t>Proteinuria Negatif</w:t>
            </w:r>
          </w:p>
        </w:tc>
        <w:tc>
          <w:tcPr>
            <w:tcW w:w="1061" w:type="dxa"/>
            <w:tcBorders>
              <w:top w:val="nil"/>
              <w:bottom w:val="single" w:sz="4" w:space="0" w:color="auto"/>
            </w:tcBorders>
            <w:shd w:val="clear" w:color="auto" w:fill="FFFFFF"/>
            <w:vAlign w:val="center"/>
          </w:tcPr>
          <w:p w:rsidR="00190D11" w:rsidRPr="0093101C" w:rsidRDefault="00190D11" w:rsidP="00656B2D">
            <w:pPr>
              <w:spacing w:after="160" w:line="240" w:lineRule="auto"/>
              <w:jc w:val="center"/>
              <w:rPr>
                <w:rFonts w:ascii="Arial" w:eastAsiaTheme="minorHAnsi" w:hAnsi="Arial" w:cs="Arial"/>
                <w:b/>
                <w:bCs/>
                <w:sz w:val="16"/>
                <w:szCs w:val="16"/>
              </w:rPr>
            </w:pPr>
            <w:r w:rsidRPr="0093101C">
              <w:rPr>
                <w:rFonts w:ascii="Arial" w:eastAsiaTheme="minorHAnsi" w:hAnsi="Arial" w:cs="Arial"/>
                <w:b/>
                <w:bCs/>
                <w:sz w:val="16"/>
                <w:szCs w:val="16"/>
              </w:rPr>
              <w:t>Proteinuria Positif</w:t>
            </w:r>
          </w:p>
        </w:tc>
        <w:tc>
          <w:tcPr>
            <w:tcW w:w="657" w:type="dxa"/>
            <w:vMerge/>
            <w:tcBorders>
              <w:top w:val="nil"/>
              <w:bottom w:val="single" w:sz="4" w:space="0" w:color="auto"/>
            </w:tcBorders>
            <w:shd w:val="clear" w:color="auto" w:fill="FFFFFF"/>
          </w:tcPr>
          <w:p w:rsidR="00190D11" w:rsidRPr="0093101C" w:rsidRDefault="00190D11" w:rsidP="00656B2D">
            <w:pPr>
              <w:spacing w:after="160" w:line="240" w:lineRule="auto"/>
              <w:jc w:val="left"/>
              <w:rPr>
                <w:rFonts w:ascii="Arial" w:eastAsiaTheme="minorHAnsi" w:hAnsi="Arial" w:cs="Arial"/>
                <w:b/>
                <w:bCs/>
                <w:sz w:val="16"/>
                <w:szCs w:val="16"/>
              </w:rPr>
            </w:pPr>
          </w:p>
        </w:tc>
        <w:tc>
          <w:tcPr>
            <w:tcW w:w="1313" w:type="dxa"/>
            <w:vMerge/>
            <w:tcBorders>
              <w:top w:val="nil"/>
              <w:bottom w:val="single" w:sz="4" w:space="0" w:color="auto"/>
            </w:tcBorders>
            <w:shd w:val="clear" w:color="auto" w:fill="FFFFFF"/>
          </w:tcPr>
          <w:p w:rsidR="00190D11" w:rsidRPr="0093101C" w:rsidRDefault="00190D11" w:rsidP="00656B2D">
            <w:pPr>
              <w:spacing w:after="160" w:line="240" w:lineRule="auto"/>
              <w:jc w:val="center"/>
              <w:rPr>
                <w:rFonts w:ascii="Arial" w:eastAsiaTheme="minorHAnsi" w:hAnsi="Arial" w:cs="Arial"/>
                <w:b/>
                <w:bCs/>
                <w:sz w:val="16"/>
                <w:szCs w:val="16"/>
              </w:rPr>
            </w:pPr>
          </w:p>
        </w:tc>
      </w:tr>
      <w:tr w:rsidR="00190D11" w:rsidRPr="0093101C" w:rsidTr="0093101C">
        <w:trPr>
          <w:trHeight w:val="224"/>
        </w:trPr>
        <w:tc>
          <w:tcPr>
            <w:tcW w:w="1017" w:type="dxa"/>
            <w:tcBorders>
              <w:top w:val="single" w:sz="4" w:space="0" w:color="auto"/>
            </w:tcBorders>
            <w:shd w:val="clear" w:color="auto" w:fill="FFFFFF"/>
          </w:tcPr>
          <w:p w:rsidR="00190D11" w:rsidRPr="0093101C" w:rsidRDefault="00190D11" w:rsidP="00656B2D">
            <w:pPr>
              <w:spacing w:after="160" w:line="240" w:lineRule="auto"/>
              <w:jc w:val="left"/>
              <w:rPr>
                <w:rFonts w:ascii="Arial" w:eastAsiaTheme="minorHAnsi" w:hAnsi="Arial" w:cs="Arial"/>
                <w:bCs/>
                <w:sz w:val="16"/>
                <w:szCs w:val="16"/>
              </w:rPr>
            </w:pPr>
            <w:r w:rsidRPr="0093101C">
              <w:rPr>
                <w:rFonts w:ascii="Arial" w:eastAsiaTheme="minorHAnsi" w:hAnsi="Arial" w:cs="Arial"/>
                <w:bCs/>
                <w:sz w:val="16"/>
                <w:szCs w:val="16"/>
              </w:rPr>
              <w:t>Merokok</w:t>
            </w:r>
          </w:p>
        </w:tc>
        <w:tc>
          <w:tcPr>
            <w:tcW w:w="1082" w:type="dxa"/>
            <w:tcBorders>
              <w:top w:val="single" w:sz="4" w:space="0" w:color="auto"/>
            </w:tcBorders>
          </w:tcPr>
          <w:p w:rsidR="00190D11" w:rsidRPr="0093101C" w:rsidRDefault="00190D11" w:rsidP="00656B2D">
            <w:pPr>
              <w:spacing w:after="160" w:line="240" w:lineRule="auto"/>
              <w:jc w:val="center"/>
              <w:rPr>
                <w:rFonts w:ascii="Arial" w:eastAsiaTheme="minorHAnsi" w:hAnsi="Arial" w:cs="Arial"/>
                <w:sz w:val="16"/>
                <w:szCs w:val="16"/>
              </w:rPr>
            </w:pPr>
            <w:r w:rsidRPr="0093101C">
              <w:rPr>
                <w:rFonts w:ascii="Arial" w:eastAsiaTheme="minorHAnsi" w:hAnsi="Arial" w:cs="Arial"/>
                <w:sz w:val="16"/>
                <w:szCs w:val="16"/>
              </w:rPr>
              <w:t>14</w:t>
            </w:r>
          </w:p>
        </w:tc>
        <w:tc>
          <w:tcPr>
            <w:tcW w:w="1061" w:type="dxa"/>
            <w:tcBorders>
              <w:top w:val="single" w:sz="4" w:space="0" w:color="auto"/>
            </w:tcBorders>
          </w:tcPr>
          <w:p w:rsidR="00190D11" w:rsidRPr="0093101C" w:rsidRDefault="00190D11" w:rsidP="00656B2D">
            <w:pPr>
              <w:spacing w:after="160" w:line="240" w:lineRule="auto"/>
              <w:jc w:val="center"/>
              <w:rPr>
                <w:rFonts w:ascii="Arial" w:eastAsiaTheme="minorHAnsi" w:hAnsi="Arial" w:cs="Arial"/>
                <w:sz w:val="16"/>
                <w:szCs w:val="16"/>
              </w:rPr>
            </w:pPr>
            <w:r w:rsidRPr="0093101C">
              <w:rPr>
                <w:rFonts w:ascii="Arial" w:eastAsiaTheme="minorHAnsi" w:hAnsi="Arial" w:cs="Arial"/>
                <w:sz w:val="16"/>
                <w:szCs w:val="16"/>
              </w:rPr>
              <w:t>25</w:t>
            </w:r>
          </w:p>
        </w:tc>
        <w:tc>
          <w:tcPr>
            <w:tcW w:w="657" w:type="dxa"/>
            <w:tcBorders>
              <w:top w:val="single" w:sz="4" w:space="0" w:color="auto"/>
            </w:tcBorders>
          </w:tcPr>
          <w:p w:rsidR="00190D11" w:rsidRPr="0093101C" w:rsidRDefault="00190D11" w:rsidP="00656B2D">
            <w:pPr>
              <w:spacing w:after="160" w:line="240" w:lineRule="auto"/>
              <w:jc w:val="left"/>
              <w:rPr>
                <w:rFonts w:ascii="Arial" w:eastAsiaTheme="minorHAnsi" w:hAnsi="Arial" w:cs="Arial"/>
                <w:bCs/>
                <w:sz w:val="16"/>
                <w:szCs w:val="16"/>
              </w:rPr>
            </w:pPr>
            <w:r w:rsidRPr="0093101C">
              <w:rPr>
                <w:rFonts w:ascii="Arial" w:eastAsiaTheme="minorHAnsi" w:hAnsi="Arial" w:cs="Arial"/>
                <w:bCs/>
                <w:sz w:val="16"/>
                <w:szCs w:val="16"/>
              </w:rPr>
              <w:t xml:space="preserve">  0,001          </w:t>
            </w:r>
          </w:p>
        </w:tc>
        <w:tc>
          <w:tcPr>
            <w:tcW w:w="1313" w:type="dxa"/>
            <w:tcBorders>
              <w:top w:val="single" w:sz="4" w:space="0" w:color="auto"/>
            </w:tcBorders>
          </w:tcPr>
          <w:p w:rsidR="00E53FEF" w:rsidRPr="0093101C" w:rsidRDefault="00190D11" w:rsidP="00656B2D">
            <w:pPr>
              <w:spacing w:after="160" w:line="240" w:lineRule="auto"/>
              <w:jc w:val="center"/>
              <w:rPr>
                <w:rFonts w:ascii="Arial" w:eastAsiaTheme="minorHAnsi" w:hAnsi="Arial" w:cs="Arial"/>
                <w:bCs/>
                <w:sz w:val="16"/>
                <w:szCs w:val="16"/>
              </w:rPr>
            </w:pPr>
            <w:r w:rsidRPr="0093101C">
              <w:rPr>
                <w:rFonts w:ascii="Arial" w:eastAsiaTheme="minorHAnsi" w:hAnsi="Arial" w:cs="Arial"/>
                <w:sz w:val="16"/>
                <w:szCs w:val="16"/>
              </w:rPr>
              <w:t>2,436</w:t>
            </w:r>
          </w:p>
          <w:p w:rsidR="00190D11" w:rsidRPr="0093101C" w:rsidRDefault="00190D11" w:rsidP="00656B2D">
            <w:pPr>
              <w:spacing w:after="160" w:line="240" w:lineRule="auto"/>
              <w:jc w:val="center"/>
              <w:rPr>
                <w:rFonts w:ascii="Arial" w:eastAsiaTheme="minorHAnsi" w:hAnsi="Arial" w:cs="Arial"/>
                <w:bCs/>
                <w:sz w:val="16"/>
                <w:szCs w:val="16"/>
              </w:rPr>
            </w:pPr>
            <w:r w:rsidRPr="0093101C">
              <w:rPr>
                <w:rFonts w:ascii="Arial" w:eastAsiaTheme="minorHAnsi" w:hAnsi="Arial" w:cs="Arial"/>
                <w:sz w:val="16"/>
                <w:szCs w:val="16"/>
              </w:rPr>
              <w:t>(1,362 – 4,357)</w:t>
            </w:r>
          </w:p>
        </w:tc>
      </w:tr>
      <w:tr w:rsidR="00190D11" w:rsidRPr="0093101C" w:rsidTr="0093101C">
        <w:trPr>
          <w:trHeight w:val="344"/>
        </w:trPr>
        <w:tc>
          <w:tcPr>
            <w:tcW w:w="1017" w:type="dxa"/>
            <w:shd w:val="clear" w:color="auto" w:fill="FFFFFF"/>
          </w:tcPr>
          <w:p w:rsidR="00190D11" w:rsidRPr="0093101C" w:rsidRDefault="00190D11" w:rsidP="00656B2D">
            <w:pPr>
              <w:spacing w:after="160" w:line="240" w:lineRule="auto"/>
              <w:jc w:val="left"/>
              <w:rPr>
                <w:rFonts w:ascii="Arial" w:eastAsiaTheme="minorHAnsi" w:hAnsi="Arial" w:cs="Arial"/>
                <w:bCs/>
                <w:sz w:val="16"/>
                <w:szCs w:val="16"/>
              </w:rPr>
            </w:pPr>
            <w:r w:rsidRPr="0093101C">
              <w:rPr>
                <w:rFonts w:ascii="Arial" w:eastAsiaTheme="minorHAnsi" w:hAnsi="Arial" w:cs="Arial"/>
                <w:bCs/>
                <w:sz w:val="16"/>
                <w:szCs w:val="16"/>
              </w:rPr>
              <w:t>Tidak Merokok</w:t>
            </w:r>
          </w:p>
        </w:tc>
        <w:tc>
          <w:tcPr>
            <w:tcW w:w="1082" w:type="dxa"/>
            <w:shd w:val="clear" w:color="auto" w:fill="FFFFFF"/>
          </w:tcPr>
          <w:p w:rsidR="00190D11" w:rsidRPr="0093101C" w:rsidRDefault="00190D11" w:rsidP="00656B2D">
            <w:pPr>
              <w:spacing w:after="160" w:line="240" w:lineRule="auto"/>
              <w:jc w:val="center"/>
              <w:rPr>
                <w:rFonts w:ascii="Arial" w:eastAsiaTheme="minorHAnsi" w:hAnsi="Arial" w:cs="Arial"/>
                <w:sz w:val="16"/>
                <w:szCs w:val="16"/>
              </w:rPr>
            </w:pPr>
            <w:r w:rsidRPr="0093101C">
              <w:rPr>
                <w:rFonts w:ascii="Arial" w:eastAsiaTheme="minorHAnsi" w:hAnsi="Arial" w:cs="Arial"/>
                <w:sz w:val="16"/>
                <w:szCs w:val="16"/>
              </w:rPr>
              <w:t>28</w:t>
            </w:r>
          </w:p>
        </w:tc>
        <w:tc>
          <w:tcPr>
            <w:tcW w:w="1061" w:type="dxa"/>
            <w:shd w:val="clear" w:color="auto" w:fill="FFFFFF"/>
          </w:tcPr>
          <w:p w:rsidR="00190D11" w:rsidRPr="0093101C" w:rsidRDefault="00190D11" w:rsidP="00656B2D">
            <w:pPr>
              <w:spacing w:after="160" w:line="240" w:lineRule="auto"/>
              <w:jc w:val="center"/>
              <w:rPr>
                <w:rFonts w:ascii="Arial" w:eastAsiaTheme="minorHAnsi" w:hAnsi="Arial" w:cs="Arial"/>
                <w:sz w:val="16"/>
                <w:szCs w:val="16"/>
              </w:rPr>
            </w:pPr>
            <w:r w:rsidRPr="0093101C">
              <w:rPr>
                <w:rFonts w:ascii="Arial" w:eastAsiaTheme="minorHAnsi" w:hAnsi="Arial" w:cs="Arial"/>
                <w:sz w:val="16"/>
                <w:szCs w:val="16"/>
              </w:rPr>
              <w:t>10</w:t>
            </w:r>
          </w:p>
        </w:tc>
        <w:tc>
          <w:tcPr>
            <w:tcW w:w="657" w:type="dxa"/>
            <w:shd w:val="clear" w:color="auto" w:fill="FFFFFF"/>
          </w:tcPr>
          <w:p w:rsidR="00190D11" w:rsidRPr="0093101C" w:rsidRDefault="00190D11" w:rsidP="00656B2D">
            <w:pPr>
              <w:spacing w:after="160" w:line="240" w:lineRule="auto"/>
              <w:jc w:val="left"/>
              <w:rPr>
                <w:rFonts w:ascii="Arial" w:eastAsiaTheme="minorHAnsi" w:hAnsi="Arial" w:cs="Arial"/>
                <w:b/>
                <w:bCs/>
                <w:sz w:val="16"/>
                <w:szCs w:val="16"/>
              </w:rPr>
            </w:pPr>
          </w:p>
        </w:tc>
        <w:tc>
          <w:tcPr>
            <w:tcW w:w="1313" w:type="dxa"/>
            <w:shd w:val="clear" w:color="auto" w:fill="FFFFFF"/>
          </w:tcPr>
          <w:p w:rsidR="00190D11" w:rsidRPr="0093101C" w:rsidRDefault="00190D11" w:rsidP="00656B2D">
            <w:pPr>
              <w:spacing w:after="160" w:line="240" w:lineRule="auto"/>
              <w:jc w:val="left"/>
              <w:rPr>
                <w:rFonts w:ascii="Arial" w:eastAsiaTheme="minorHAnsi" w:hAnsi="Arial" w:cs="Arial"/>
                <w:b/>
                <w:bCs/>
                <w:sz w:val="16"/>
                <w:szCs w:val="16"/>
              </w:rPr>
            </w:pPr>
          </w:p>
        </w:tc>
      </w:tr>
    </w:tbl>
    <w:p w:rsidR="00E53FEF" w:rsidRPr="00E53FEF" w:rsidRDefault="00E53FEF" w:rsidP="00E53FEF">
      <w:pPr>
        <w:rPr>
          <w:rFonts w:ascii="Arial" w:hAnsi="Arial" w:cs="Arial"/>
          <w:sz w:val="16"/>
          <w:szCs w:val="16"/>
        </w:rPr>
      </w:pPr>
      <w:r w:rsidRPr="00E53FEF">
        <w:rPr>
          <w:rFonts w:ascii="Arial" w:hAnsi="Arial" w:cs="Arial"/>
          <w:sz w:val="16"/>
          <w:szCs w:val="16"/>
        </w:rPr>
        <w:t xml:space="preserve">Catatan : </w:t>
      </w:r>
    </w:p>
    <w:p w:rsidR="00E53FEF" w:rsidRPr="00E53FEF" w:rsidRDefault="00E53FEF" w:rsidP="00E53FEF">
      <w:pPr>
        <w:pStyle w:val="ListParagraph"/>
        <w:numPr>
          <w:ilvl w:val="0"/>
          <w:numId w:val="8"/>
        </w:numPr>
        <w:rPr>
          <w:rFonts w:ascii="Arial" w:hAnsi="Arial" w:cs="Arial"/>
          <w:sz w:val="16"/>
          <w:szCs w:val="16"/>
        </w:rPr>
      </w:pPr>
      <w:r w:rsidRPr="00E53FEF">
        <w:rPr>
          <w:rFonts w:ascii="Arial" w:hAnsi="Arial" w:cs="Arial"/>
          <w:sz w:val="16"/>
          <w:szCs w:val="16"/>
        </w:rPr>
        <w:t>Proteinuria Positif  [ ≥ +1(30mg/100ml)]</w:t>
      </w:r>
    </w:p>
    <w:p w:rsidR="00E53FEF" w:rsidRPr="00E53FEF" w:rsidRDefault="00E53FEF" w:rsidP="00E53FEF">
      <w:pPr>
        <w:pStyle w:val="ListParagraph"/>
        <w:numPr>
          <w:ilvl w:val="0"/>
          <w:numId w:val="8"/>
        </w:numPr>
        <w:rPr>
          <w:rFonts w:ascii="Arial" w:hAnsi="Arial" w:cs="Arial"/>
          <w:sz w:val="16"/>
          <w:szCs w:val="16"/>
        </w:rPr>
      </w:pPr>
      <w:r w:rsidRPr="00E53FEF">
        <w:rPr>
          <w:rFonts w:ascii="Arial" w:hAnsi="Arial" w:cs="Arial"/>
          <w:sz w:val="16"/>
          <w:szCs w:val="16"/>
        </w:rPr>
        <w:t>Proteinuria Negatif [&lt; +1(30mg/100ml)]</w:t>
      </w:r>
    </w:p>
    <w:p w:rsidR="00E53FEF" w:rsidRPr="00E53FEF" w:rsidRDefault="00E53FEF" w:rsidP="003E3799">
      <w:pPr>
        <w:ind w:firstLine="720"/>
        <w:rPr>
          <w:rFonts w:ascii="Arial" w:hAnsi="Arial" w:cs="Arial"/>
          <w:sz w:val="20"/>
          <w:szCs w:val="20"/>
        </w:rPr>
      </w:pPr>
      <w:r w:rsidRPr="00E53FEF">
        <w:rPr>
          <w:rFonts w:ascii="Arial" w:hAnsi="Arial" w:cs="Arial"/>
          <w:sz w:val="20"/>
          <w:szCs w:val="20"/>
        </w:rPr>
        <w:t xml:space="preserve">Berdasarkan hasil uji analisis yaitu uji </w:t>
      </w:r>
      <w:r w:rsidRPr="00E53FEF">
        <w:rPr>
          <w:rFonts w:ascii="Arial" w:hAnsi="Arial" w:cs="Arial"/>
          <w:i/>
          <w:sz w:val="20"/>
          <w:szCs w:val="20"/>
        </w:rPr>
        <w:t>chi-square (X</w:t>
      </w:r>
      <w:r w:rsidRPr="00E53FEF">
        <w:rPr>
          <w:rFonts w:ascii="Arial" w:hAnsi="Arial" w:cs="Arial"/>
          <w:i/>
          <w:sz w:val="20"/>
          <w:szCs w:val="20"/>
          <w:vertAlign w:val="superscript"/>
        </w:rPr>
        <w:t>2</w:t>
      </w:r>
      <w:r w:rsidRPr="00E53FEF">
        <w:rPr>
          <w:rFonts w:ascii="Arial" w:hAnsi="Arial" w:cs="Arial"/>
          <w:i/>
          <w:sz w:val="20"/>
          <w:szCs w:val="20"/>
        </w:rPr>
        <w:t>)</w:t>
      </w:r>
      <w:r w:rsidRPr="00E53FEF">
        <w:rPr>
          <w:rFonts w:ascii="Arial" w:hAnsi="Arial" w:cs="Arial"/>
          <w:sz w:val="20"/>
          <w:szCs w:val="20"/>
        </w:rPr>
        <w:t xml:space="preserve"> menggunakan metode koreksi </w:t>
      </w:r>
      <w:r w:rsidRPr="00E53FEF">
        <w:rPr>
          <w:rFonts w:ascii="Arial" w:hAnsi="Arial" w:cs="Arial"/>
          <w:i/>
          <w:sz w:val="20"/>
          <w:szCs w:val="20"/>
        </w:rPr>
        <w:t>Yates</w:t>
      </w:r>
      <w:r w:rsidRPr="00E53FEF">
        <w:rPr>
          <w:rFonts w:ascii="Arial" w:hAnsi="Arial" w:cs="Arial"/>
          <w:sz w:val="20"/>
          <w:szCs w:val="20"/>
        </w:rPr>
        <w:t xml:space="preserve"> didapatkan nilai p=0,001 (p&lt;0,05) pada mahasiswa prehipertensi. Terdapat hubungan yang bermakna antara subyek penelitian prehipertensi yang merokok terhadap proteinuria.</w:t>
      </w:r>
    </w:p>
    <w:p w:rsidR="00656B2D" w:rsidRPr="0093101C" w:rsidRDefault="00E53FEF" w:rsidP="0093101C">
      <w:pPr>
        <w:ind w:firstLine="720"/>
        <w:rPr>
          <w:rFonts w:ascii="Arial" w:hAnsi="Arial" w:cs="Arial"/>
          <w:sz w:val="20"/>
          <w:szCs w:val="20"/>
        </w:rPr>
      </w:pPr>
      <w:r w:rsidRPr="00E53FEF">
        <w:rPr>
          <w:rFonts w:ascii="Arial" w:hAnsi="Arial" w:cs="Arial"/>
          <w:sz w:val="20"/>
          <w:szCs w:val="20"/>
        </w:rPr>
        <w:t>Berdasarkan hasil uji statistik, didapatkan nilai OR = 2,436 dengan selang kepercayaan (</w:t>
      </w:r>
      <w:r w:rsidRPr="00E53FEF">
        <w:rPr>
          <w:rFonts w:ascii="Arial" w:hAnsi="Arial" w:cs="Arial"/>
          <w:i/>
          <w:sz w:val="20"/>
          <w:szCs w:val="20"/>
        </w:rPr>
        <w:t>Confidence Interval</w:t>
      </w:r>
      <w:r w:rsidRPr="00E53FEF">
        <w:rPr>
          <w:rFonts w:ascii="Arial" w:hAnsi="Arial" w:cs="Arial"/>
          <w:sz w:val="20"/>
          <w:szCs w:val="20"/>
        </w:rPr>
        <w:t>) didapatkan [(1,362), (4,357)], pada selang kepercayaan (</w:t>
      </w:r>
      <w:r w:rsidRPr="00E53FEF">
        <w:rPr>
          <w:rFonts w:ascii="Arial" w:hAnsi="Arial" w:cs="Arial"/>
          <w:i/>
          <w:sz w:val="20"/>
          <w:szCs w:val="20"/>
        </w:rPr>
        <w:t>Confidence Interval</w:t>
      </w:r>
      <w:r w:rsidRPr="00E53FEF">
        <w:rPr>
          <w:rFonts w:ascii="Arial" w:hAnsi="Arial" w:cs="Arial"/>
          <w:sz w:val="20"/>
          <w:szCs w:val="20"/>
        </w:rPr>
        <w:t xml:space="preserve">) tidak mengandung nilai </w:t>
      </w:r>
      <w:r w:rsidRPr="00E53FEF">
        <w:rPr>
          <w:rFonts w:ascii="Arial" w:hAnsi="Arial" w:cs="Arial"/>
          <w:i/>
          <w:sz w:val="20"/>
          <w:szCs w:val="20"/>
        </w:rPr>
        <w:t>odds ratio</w:t>
      </w:r>
      <w:r w:rsidRPr="00E53FEF">
        <w:rPr>
          <w:rFonts w:ascii="Arial" w:hAnsi="Arial" w:cs="Arial"/>
          <w:sz w:val="20"/>
          <w:szCs w:val="20"/>
        </w:rPr>
        <w:t xml:space="preserve"> 1, sehingga menunjukkan adanya hubungan antara merokok dengan proteinuria pada taraf signifikan 5% dengan risiko subyek perokok untuk mengalami proteinuria sekitar 2 kali lebih besar dibandingkan subyek bukan perokok.</w:t>
      </w:r>
    </w:p>
    <w:p w:rsidR="00E53FEF" w:rsidRDefault="00E53FEF" w:rsidP="0093101C">
      <w:pPr>
        <w:spacing w:after="100" w:line="240" w:lineRule="auto"/>
        <w:rPr>
          <w:rFonts w:ascii="Arial" w:hAnsi="Arial" w:cs="Arial"/>
          <w:b/>
          <w:sz w:val="18"/>
          <w:szCs w:val="18"/>
        </w:rPr>
      </w:pPr>
      <w:r w:rsidRPr="00E53FEF">
        <w:rPr>
          <w:rFonts w:ascii="Arial" w:hAnsi="Arial" w:cs="Arial"/>
          <w:b/>
          <w:sz w:val="18"/>
          <w:szCs w:val="18"/>
        </w:rPr>
        <w:t>Tabel 7. Korelasi Kebiasaan Merokok dengan Proteinuria pada Hipertensi</w:t>
      </w:r>
    </w:p>
    <w:tbl>
      <w:tblPr>
        <w:tblpPr w:leftFromText="180" w:rightFromText="180" w:vertAnchor="text" w:horzAnchor="page" w:tblpX="6446" w:tblpY="19"/>
        <w:tblW w:w="5297" w:type="dxa"/>
        <w:tblBorders>
          <w:top w:val="single" w:sz="4" w:space="0" w:color="auto"/>
          <w:bottom w:val="single" w:sz="4" w:space="0" w:color="auto"/>
        </w:tblBorders>
        <w:tblLook w:val="05A0" w:firstRow="1" w:lastRow="0" w:firstColumn="1" w:lastColumn="1" w:noHBand="0" w:noVBand="1"/>
      </w:tblPr>
      <w:tblGrid>
        <w:gridCol w:w="1049"/>
        <w:gridCol w:w="1094"/>
        <w:gridCol w:w="1107"/>
        <w:gridCol w:w="617"/>
        <w:gridCol w:w="1430"/>
      </w:tblGrid>
      <w:tr w:rsidR="00C055D7" w:rsidRPr="0093101C" w:rsidTr="002E6AE9">
        <w:trPr>
          <w:trHeight w:val="355"/>
        </w:trPr>
        <w:tc>
          <w:tcPr>
            <w:tcW w:w="1050" w:type="dxa"/>
            <w:vMerge w:val="restart"/>
            <w:tcBorders>
              <w:top w:val="single" w:sz="4" w:space="0" w:color="auto"/>
            </w:tcBorders>
            <w:shd w:val="clear" w:color="auto" w:fill="FFFFFF"/>
            <w:vAlign w:val="center"/>
          </w:tcPr>
          <w:p w:rsidR="0093101C" w:rsidRPr="0093101C" w:rsidRDefault="0093101C" w:rsidP="00C055D7">
            <w:pPr>
              <w:spacing w:line="240" w:lineRule="auto"/>
              <w:rPr>
                <w:rFonts w:ascii="Arial" w:hAnsi="Arial" w:cs="Arial"/>
                <w:b/>
                <w:bCs/>
                <w:sz w:val="16"/>
                <w:szCs w:val="16"/>
              </w:rPr>
            </w:pPr>
            <w:r w:rsidRPr="0093101C">
              <w:rPr>
                <w:rFonts w:ascii="Arial" w:hAnsi="Arial" w:cs="Arial"/>
                <w:b/>
                <w:bCs/>
                <w:sz w:val="16"/>
                <w:szCs w:val="16"/>
              </w:rPr>
              <w:t>Kebiasaan Merokok</w:t>
            </w:r>
          </w:p>
        </w:tc>
        <w:tc>
          <w:tcPr>
            <w:tcW w:w="2204" w:type="dxa"/>
            <w:gridSpan w:val="2"/>
            <w:tcBorders>
              <w:top w:val="single" w:sz="4" w:space="0" w:color="auto"/>
              <w:bottom w:val="nil"/>
            </w:tcBorders>
            <w:shd w:val="clear" w:color="auto" w:fill="FFFFFF"/>
            <w:vAlign w:val="center"/>
          </w:tcPr>
          <w:p w:rsidR="0093101C" w:rsidRPr="0093101C" w:rsidRDefault="0093101C" w:rsidP="00C055D7">
            <w:pPr>
              <w:spacing w:line="240" w:lineRule="auto"/>
              <w:jc w:val="center"/>
              <w:rPr>
                <w:rFonts w:ascii="Arial" w:hAnsi="Arial" w:cs="Arial"/>
                <w:b/>
                <w:bCs/>
                <w:sz w:val="16"/>
                <w:szCs w:val="16"/>
              </w:rPr>
            </w:pPr>
            <w:r w:rsidRPr="0093101C">
              <w:rPr>
                <w:rFonts w:ascii="Arial" w:hAnsi="Arial" w:cs="Arial"/>
                <w:b/>
                <w:bCs/>
                <w:sz w:val="16"/>
                <w:szCs w:val="16"/>
              </w:rPr>
              <w:t>Jumlah Subyek</w:t>
            </w:r>
          </w:p>
        </w:tc>
        <w:tc>
          <w:tcPr>
            <w:tcW w:w="593" w:type="dxa"/>
            <w:vMerge w:val="restart"/>
            <w:tcBorders>
              <w:top w:val="single" w:sz="4" w:space="0" w:color="auto"/>
            </w:tcBorders>
            <w:shd w:val="clear" w:color="auto" w:fill="FFFFFF"/>
            <w:vAlign w:val="center"/>
          </w:tcPr>
          <w:p w:rsidR="0093101C" w:rsidRPr="0093101C" w:rsidRDefault="0093101C" w:rsidP="00C055D7">
            <w:pPr>
              <w:spacing w:line="240" w:lineRule="auto"/>
              <w:jc w:val="center"/>
              <w:rPr>
                <w:rFonts w:ascii="Arial" w:hAnsi="Arial" w:cs="Arial"/>
                <w:b/>
                <w:bCs/>
                <w:sz w:val="16"/>
                <w:szCs w:val="16"/>
              </w:rPr>
            </w:pPr>
            <w:r w:rsidRPr="0093101C">
              <w:rPr>
                <w:rFonts w:ascii="Arial" w:hAnsi="Arial" w:cs="Arial"/>
                <w:b/>
                <w:bCs/>
                <w:sz w:val="16"/>
                <w:szCs w:val="16"/>
              </w:rPr>
              <w:t>P</w:t>
            </w:r>
          </w:p>
        </w:tc>
        <w:tc>
          <w:tcPr>
            <w:tcW w:w="1450" w:type="dxa"/>
            <w:vMerge w:val="restart"/>
            <w:tcBorders>
              <w:top w:val="single" w:sz="4" w:space="0" w:color="auto"/>
            </w:tcBorders>
            <w:shd w:val="clear" w:color="auto" w:fill="FFFFFF"/>
            <w:vAlign w:val="center"/>
          </w:tcPr>
          <w:p w:rsidR="0093101C" w:rsidRPr="0093101C" w:rsidRDefault="0093101C" w:rsidP="00C055D7">
            <w:pPr>
              <w:spacing w:line="240" w:lineRule="auto"/>
              <w:jc w:val="center"/>
              <w:rPr>
                <w:rFonts w:ascii="Arial" w:hAnsi="Arial" w:cs="Arial"/>
                <w:b/>
                <w:bCs/>
                <w:sz w:val="16"/>
                <w:szCs w:val="16"/>
              </w:rPr>
            </w:pPr>
            <w:r w:rsidRPr="0093101C">
              <w:rPr>
                <w:rFonts w:ascii="Arial" w:hAnsi="Arial" w:cs="Arial"/>
                <w:b/>
                <w:bCs/>
                <w:sz w:val="16"/>
                <w:szCs w:val="16"/>
              </w:rPr>
              <w:t>OR (CI=95%)</w:t>
            </w:r>
          </w:p>
        </w:tc>
      </w:tr>
      <w:tr w:rsidR="002E6AE9" w:rsidRPr="0093101C" w:rsidTr="002E6AE9">
        <w:trPr>
          <w:trHeight w:val="378"/>
        </w:trPr>
        <w:tc>
          <w:tcPr>
            <w:tcW w:w="1050" w:type="dxa"/>
            <w:vMerge/>
            <w:tcBorders>
              <w:bottom w:val="single" w:sz="4" w:space="0" w:color="auto"/>
            </w:tcBorders>
            <w:shd w:val="clear" w:color="auto" w:fill="FFFFFF"/>
            <w:vAlign w:val="center"/>
          </w:tcPr>
          <w:p w:rsidR="0093101C" w:rsidRPr="0093101C" w:rsidRDefault="0093101C" w:rsidP="00C055D7">
            <w:pPr>
              <w:spacing w:line="240" w:lineRule="auto"/>
              <w:rPr>
                <w:rFonts w:ascii="Arial" w:hAnsi="Arial" w:cs="Arial"/>
                <w:bCs/>
                <w:sz w:val="16"/>
                <w:szCs w:val="16"/>
              </w:rPr>
            </w:pPr>
          </w:p>
        </w:tc>
        <w:tc>
          <w:tcPr>
            <w:tcW w:w="1095" w:type="dxa"/>
            <w:tcBorders>
              <w:top w:val="nil"/>
              <w:bottom w:val="single" w:sz="4" w:space="0" w:color="auto"/>
            </w:tcBorders>
            <w:shd w:val="clear" w:color="auto" w:fill="FFFFFF"/>
            <w:vAlign w:val="center"/>
          </w:tcPr>
          <w:p w:rsidR="0093101C" w:rsidRPr="0093101C" w:rsidRDefault="0093101C" w:rsidP="00C055D7">
            <w:pPr>
              <w:spacing w:line="240" w:lineRule="auto"/>
              <w:jc w:val="center"/>
              <w:rPr>
                <w:rFonts w:ascii="Arial" w:hAnsi="Arial" w:cs="Arial"/>
                <w:b/>
                <w:bCs/>
                <w:sz w:val="16"/>
                <w:szCs w:val="16"/>
              </w:rPr>
            </w:pPr>
            <w:r w:rsidRPr="0093101C">
              <w:rPr>
                <w:rFonts w:ascii="Arial" w:hAnsi="Arial" w:cs="Arial"/>
                <w:b/>
                <w:bCs/>
                <w:sz w:val="16"/>
                <w:szCs w:val="16"/>
              </w:rPr>
              <w:t>Proteinuria Negatif</w:t>
            </w:r>
          </w:p>
        </w:tc>
        <w:tc>
          <w:tcPr>
            <w:tcW w:w="1108" w:type="dxa"/>
            <w:tcBorders>
              <w:top w:val="nil"/>
              <w:bottom w:val="single" w:sz="4" w:space="0" w:color="auto"/>
            </w:tcBorders>
            <w:shd w:val="clear" w:color="auto" w:fill="FFFFFF"/>
            <w:vAlign w:val="center"/>
          </w:tcPr>
          <w:p w:rsidR="0093101C" w:rsidRPr="0093101C" w:rsidRDefault="0093101C" w:rsidP="00C055D7">
            <w:pPr>
              <w:spacing w:line="240" w:lineRule="auto"/>
              <w:jc w:val="center"/>
              <w:rPr>
                <w:rFonts w:ascii="Arial" w:hAnsi="Arial" w:cs="Arial"/>
                <w:b/>
                <w:bCs/>
                <w:sz w:val="16"/>
                <w:szCs w:val="16"/>
              </w:rPr>
            </w:pPr>
            <w:r w:rsidRPr="0093101C">
              <w:rPr>
                <w:rFonts w:ascii="Arial" w:hAnsi="Arial" w:cs="Arial"/>
                <w:b/>
                <w:bCs/>
                <w:sz w:val="16"/>
                <w:szCs w:val="16"/>
              </w:rPr>
              <w:t>Proteinuria Positif</w:t>
            </w:r>
          </w:p>
        </w:tc>
        <w:tc>
          <w:tcPr>
            <w:tcW w:w="593" w:type="dxa"/>
            <w:vMerge/>
            <w:tcBorders>
              <w:bottom w:val="single" w:sz="4" w:space="0" w:color="auto"/>
            </w:tcBorders>
            <w:shd w:val="clear" w:color="auto" w:fill="FFFFFF"/>
            <w:vAlign w:val="center"/>
          </w:tcPr>
          <w:p w:rsidR="0093101C" w:rsidRPr="0093101C" w:rsidRDefault="0093101C" w:rsidP="00C055D7">
            <w:pPr>
              <w:spacing w:line="240" w:lineRule="auto"/>
              <w:jc w:val="center"/>
              <w:rPr>
                <w:rFonts w:ascii="Arial" w:hAnsi="Arial" w:cs="Arial"/>
                <w:bCs/>
                <w:sz w:val="16"/>
                <w:szCs w:val="16"/>
              </w:rPr>
            </w:pPr>
          </w:p>
        </w:tc>
        <w:tc>
          <w:tcPr>
            <w:tcW w:w="1450" w:type="dxa"/>
            <w:vMerge/>
            <w:tcBorders>
              <w:bottom w:val="single" w:sz="4" w:space="0" w:color="auto"/>
            </w:tcBorders>
            <w:shd w:val="clear" w:color="auto" w:fill="FFFFFF"/>
            <w:vAlign w:val="center"/>
          </w:tcPr>
          <w:p w:rsidR="0093101C" w:rsidRPr="0093101C" w:rsidRDefault="0093101C" w:rsidP="00C055D7">
            <w:pPr>
              <w:spacing w:line="240" w:lineRule="auto"/>
              <w:jc w:val="center"/>
              <w:rPr>
                <w:rFonts w:ascii="Arial" w:hAnsi="Arial" w:cs="Arial"/>
                <w:bCs/>
                <w:sz w:val="16"/>
                <w:szCs w:val="16"/>
              </w:rPr>
            </w:pPr>
          </w:p>
        </w:tc>
      </w:tr>
      <w:tr w:rsidR="00C055D7" w:rsidRPr="0093101C" w:rsidTr="002E6AE9">
        <w:trPr>
          <w:trHeight w:val="342"/>
        </w:trPr>
        <w:tc>
          <w:tcPr>
            <w:tcW w:w="1050" w:type="dxa"/>
            <w:tcBorders>
              <w:top w:val="single" w:sz="4" w:space="0" w:color="auto"/>
            </w:tcBorders>
            <w:shd w:val="clear" w:color="auto" w:fill="FFFFFF"/>
          </w:tcPr>
          <w:p w:rsidR="0093101C" w:rsidRPr="0093101C" w:rsidRDefault="0093101C" w:rsidP="00C055D7">
            <w:pPr>
              <w:spacing w:line="240" w:lineRule="auto"/>
              <w:rPr>
                <w:rFonts w:ascii="Arial" w:hAnsi="Arial" w:cs="Arial"/>
                <w:bCs/>
                <w:sz w:val="16"/>
                <w:szCs w:val="16"/>
              </w:rPr>
            </w:pPr>
            <w:r w:rsidRPr="0093101C">
              <w:rPr>
                <w:rFonts w:ascii="Arial" w:hAnsi="Arial" w:cs="Arial"/>
                <w:bCs/>
                <w:sz w:val="16"/>
                <w:szCs w:val="16"/>
              </w:rPr>
              <w:t>Merokok</w:t>
            </w:r>
          </w:p>
        </w:tc>
        <w:tc>
          <w:tcPr>
            <w:tcW w:w="1095" w:type="dxa"/>
            <w:tcBorders>
              <w:top w:val="single" w:sz="4" w:space="0" w:color="auto"/>
            </w:tcBorders>
          </w:tcPr>
          <w:p w:rsidR="0093101C" w:rsidRPr="0093101C" w:rsidRDefault="0093101C" w:rsidP="00C055D7">
            <w:pPr>
              <w:spacing w:line="240" w:lineRule="auto"/>
              <w:jc w:val="center"/>
              <w:rPr>
                <w:rFonts w:ascii="Arial" w:hAnsi="Arial" w:cs="Arial"/>
                <w:sz w:val="16"/>
                <w:szCs w:val="16"/>
              </w:rPr>
            </w:pPr>
            <w:r w:rsidRPr="0093101C">
              <w:rPr>
                <w:rFonts w:ascii="Arial" w:hAnsi="Arial" w:cs="Arial"/>
                <w:sz w:val="16"/>
                <w:szCs w:val="16"/>
              </w:rPr>
              <w:t>1</w:t>
            </w:r>
          </w:p>
        </w:tc>
        <w:tc>
          <w:tcPr>
            <w:tcW w:w="1108" w:type="dxa"/>
            <w:tcBorders>
              <w:top w:val="single" w:sz="4" w:space="0" w:color="auto"/>
            </w:tcBorders>
          </w:tcPr>
          <w:p w:rsidR="0093101C" w:rsidRPr="0093101C" w:rsidRDefault="0093101C" w:rsidP="00C055D7">
            <w:pPr>
              <w:spacing w:line="240" w:lineRule="auto"/>
              <w:jc w:val="center"/>
              <w:rPr>
                <w:rFonts w:ascii="Arial" w:hAnsi="Arial" w:cs="Arial"/>
                <w:sz w:val="16"/>
                <w:szCs w:val="16"/>
              </w:rPr>
            </w:pPr>
            <w:r w:rsidRPr="0093101C">
              <w:rPr>
                <w:rFonts w:ascii="Arial" w:hAnsi="Arial" w:cs="Arial"/>
                <w:sz w:val="16"/>
                <w:szCs w:val="16"/>
              </w:rPr>
              <w:t>8</w:t>
            </w:r>
          </w:p>
        </w:tc>
        <w:tc>
          <w:tcPr>
            <w:tcW w:w="593" w:type="dxa"/>
            <w:tcBorders>
              <w:top w:val="single" w:sz="4" w:space="0" w:color="auto"/>
            </w:tcBorders>
          </w:tcPr>
          <w:p w:rsidR="0093101C" w:rsidRPr="0093101C" w:rsidRDefault="00C055D7" w:rsidP="00C055D7">
            <w:pPr>
              <w:spacing w:line="240" w:lineRule="auto"/>
              <w:jc w:val="center"/>
              <w:rPr>
                <w:rFonts w:ascii="Arial" w:hAnsi="Arial" w:cs="Arial"/>
                <w:bCs/>
                <w:sz w:val="16"/>
                <w:szCs w:val="16"/>
              </w:rPr>
            </w:pPr>
            <w:r>
              <w:rPr>
                <w:rFonts w:ascii="Arial" w:hAnsi="Arial" w:cs="Arial"/>
                <w:bCs/>
                <w:sz w:val="16"/>
                <w:szCs w:val="16"/>
              </w:rPr>
              <w:t>0,015</w:t>
            </w:r>
          </w:p>
        </w:tc>
        <w:tc>
          <w:tcPr>
            <w:tcW w:w="1450" w:type="dxa"/>
            <w:tcBorders>
              <w:top w:val="single" w:sz="4" w:space="0" w:color="auto"/>
            </w:tcBorders>
          </w:tcPr>
          <w:p w:rsidR="0093101C" w:rsidRDefault="0093101C" w:rsidP="00C055D7">
            <w:pPr>
              <w:spacing w:line="240" w:lineRule="auto"/>
              <w:jc w:val="center"/>
              <w:rPr>
                <w:rFonts w:ascii="Arial" w:hAnsi="Arial" w:cs="Arial"/>
                <w:bCs/>
                <w:sz w:val="16"/>
                <w:szCs w:val="16"/>
              </w:rPr>
            </w:pPr>
            <w:r w:rsidRPr="0093101C">
              <w:rPr>
                <w:rFonts w:ascii="Arial" w:hAnsi="Arial" w:cs="Arial"/>
                <w:sz w:val="16"/>
                <w:szCs w:val="16"/>
              </w:rPr>
              <w:t>3,556</w:t>
            </w:r>
          </w:p>
          <w:p w:rsidR="0093101C" w:rsidRPr="0093101C" w:rsidRDefault="0093101C" w:rsidP="00C055D7">
            <w:pPr>
              <w:spacing w:line="240" w:lineRule="auto"/>
              <w:jc w:val="center"/>
              <w:rPr>
                <w:rFonts w:ascii="Arial" w:hAnsi="Arial" w:cs="Arial"/>
                <w:bCs/>
                <w:sz w:val="16"/>
                <w:szCs w:val="16"/>
              </w:rPr>
            </w:pPr>
            <w:r w:rsidRPr="0093101C">
              <w:rPr>
                <w:rFonts w:ascii="Arial" w:hAnsi="Arial" w:cs="Arial"/>
                <w:sz w:val="16"/>
                <w:szCs w:val="16"/>
              </w:rPr>
              <w:t>(</w:t>
            </w:r>
            <w:r w:rsidRPr="0093101C">
              <w:rPr>
                <w:rFonts w:ascii="Arial" w:hAnsi="Arial" w:cs="Arial"/>
                <w:bCs/>
                <w:sz w:val="16"/>
                <w:szCs w:val="16"/>
              </w:rPr>
              <w:t>1,047 – 12,070</w:t>
            </w:r>
            <w:r w:rsidRPr="0093101C">
              <w:rPr>
                <w:rFonts w:ascii="Arial" w:hAnsi="Arial" w:cs="Arial"/>
                <w:sz w:val="16"/>
                <w:szCs w:val="16"/>
              </w:rPr>
              <w:t>)</w:t>
            </w:r>
          </w:p>
        </w:tc>
      </w:tr>
      <w:tr w:rsidR="002E6AE9" w:rsidRPr="0093101C" w:rsidTr="002E6AE9">
        <w:trPr>
          <w:trHeight w:val="473"/>
        </w:trPr>
        <w:tc>
          <w:tcPr>
            <w:tcW w:w="1050" w:type="dxa"/>
            <w:shd w:val="clear" w:color="auto" w:fill="FFFFFF"/>
          </w:tcPr>
          <w:p w:rsidR="0093101C" w:rsidRPr="0093101C" w:rsidRDefault="0093101C" w:rsidP="00C055D7">
            <w:pPr>
              <w:spacing w:line="240" w:lineRule="auto"/>
              <w:rPr>
                <w:rFonts w:ascii="Arial" w:hAnsi="Arial" w:cs="Arial"/>
                <w:bCs/>
                <w:sz w:val="16"/>
                <w:szCs w:val="16"/>
              </w:rPr>
            </w:pPr>
            <w:r w:rsidRPr="0093101C">
              <w:rPr>
                <w:rFonts w:ascii="Arial" w:hAnsi="Arial" w:cs="Arial"/>
                <w:bCs/>
                <w:sz w:val="16"/>
                <w:szCs w:val="16"/>
              </w:rPr>
              <w:t>Tidak Merokok</w:t>
            </w:r>
          </w:p>
        </w:tc>
        <w:tc>
          <w:tcPr>
            <w:tcW w:w="1095" w:type="dxa"/>
            <w:shd w:val="clear" w:color="auto" w:fill="FFFFFF"/>
          </w:tcPr>
          <w:p w:rsidR="0093101C" w:rsidRPr="0093101C" w:rsidRDefault="0093101C" w:rsidP="00C055D7">
            <w:pPr>
              <w:spacing w:line="240" w:lineRule="auto"/>
              <w:jc w:val="center"/>
              <w:rPr>
                <w:rFonts w:ascii="Arial" w:hAnsi="Arial" w:cs="Arial"/>
                <w:sz w:val="16"/>
                <w:szCs w:val="16"/>
              </w:rPr>
            </w:pPr>
            <w:r w:rsidRPr="0093101C">
              <w:rPr>
                <w:rFonts w:ascii="Arial" w:hAnsi="Arial" w:cs="Arial"/>
                <w:sz w:val="16"/>
                <w:szCs w:val="16"/>
              </w:rPr>
              <w:t>6</w:t>
            </w:r>
          </w:p>
        </w:tc>
        <w:tc>
          <w:tcPr>
            <w:tcW w:w="1108" w:type="dxa"/>
            <w:shd w:val="clear" w:color="auto" w:fill="FFFFFF"/>
          </w:tcPr>
          <w:p w:rsidR="0093101C" w:rsidRPr="0093101C" w:rsidRDefault="0093101C" w:rsidP="00C055D7">
            <w:pPr>
              <w:spacing w:line="240" w:lineRule="auto"/>
              <w:jc w:val="center"/>
              <w:rPr>
                <w:rFonts w:ascii="Arial" w:hAnsi="Arial" w:cs="Arial"/>
                <w:sz w:val="16"/>
                <w:szCs w:val="16"/>
              </w:rPr>
            </w:pPr>
            <w:r w:rsidRPr="0093101C">
              <w:rPr>
                <w:rFonts w:ascii="Arial" w:hAnsi="Arial" w:cs="Arial"/>
                <w:sz w:val="16"/>
                <w:szCs w:val="16"/>
              </w:rPr>
              <w:t>2</w:t>
            </w:r>
          </w:p>
        </w:tc>
        <w:tc>
          <w:tcPr>
            <w:tcW w:w="593" w:type="dxa"/>
            <w:shd w:val="clear" w:color="auto" w:fill="FFFFFF"/>
          </w:tcPr>
          <w:p w:rsidR="0093101C" w:rsidRPr="0093101C" w:rsidRDefault="0093101C" w:rsidP="00C055D7">
            <w:pPr>
              <w:spacing w:line="240" w:lineRule="auto"/>
              <w:jc w:val="center"/>
              <w:rPr>
                <w:rFonts w:ascii="Arial" w:hAnsi="Arial" w:cs="Arial"/>
                <w:bCs/>
                <w:sz w:val="16"/>
                <w:szCs w:val="16"/>
              </w:rPr>
            </w:pPr>
          </w:p>
        </w:tc>
        <w:tc>
          <w:tcPr>
            <w:tcW w:w="1450" w:type="dxa"/>
            <w:shd w:val="clear" w:color="auto" w:fill="FFFFFF"/>
          </w:tcPr>
          <w:p w:rsidR="0093101C" w:rsidRPr="0093101C" w:rsidRDefault="0093101C" w:rsidP="00C055D7">
            <w:pPr>
              <w:spacing w:line="240" w:lineRule="auto"/>
              <w:jc w:val="center"/>
              <w:rPr>
                <w:rFonts w:ascii="Arial" w:hAnsi="Arial" w:cs="Arial"/>
                <w:bCs/>
                <w:sz w:val="16"/>
                <w:szCs w:val="16"/>
              </w:rPr>
            </w:pPr>
          </w:p>
        </w:tc>
      </w:tr>
    </w:tbl>
    <w:p w:rsidR="0093101C" w:rsidRDefault="0093101C" w:rsidP="00E53FEF">
      <w:pPr>
        <w:rPr>
          <w:rFonts w:ascii="Arial" w:hAnsi="Arial" w:cs="Arial"/>
          <w:b/>
          <w:sz w:val="18"/>
          <w:szCs w:val="18"/>
        </w:rPr>
      </w:pPr>
    </w:p>
    <w:p w:rsidR="00E53FEF" w:rsidRPr="00E53FEF" w:rsidRDefault="00E53FEF" w:rsidP="0093101C">
      <w:pPr>
        <w:ind w:firstLine="720"/>
        <w:rPr>
          <w:rFonts w:ascii="Arial" w:hAnsi="Arial" w:cs="Arial"/>
          <w:sz w:val="20"/>
          <w:szCs w:val="20"/>
        </w:rPr>
      </w:pPr>
      <w:r w:rsidRPr="00E53FEF">
        <w:rPr>
          <w:rFonts w:ascii="Arial" w:hAnsi="Arial" w:cs="Arial"/>
          <w:sz w:val="20"/>
          <w:szCs w:val="20"/>
        </w:rPr>
        <w:t xml:space="preserve">Berdasarkan hasil uji analisis yaitu uji </w:t>
      </w:r>
      <w:r w:rsidRPr="00E53FEF">
        <w:rPr>
          <w:rFonts w:ascii="Arial" w:hAnsi="Arial" w:cs="Arial"/>
          <w:i/>
          <w:sz w:val="20"/>
          <w:szCs w:val="20"/>
        </w:rPr>
        <w:t>chi-square (X</w:t>
      </w:r>
      <w:r w:rsidRPr="00E53FEF">
        <w:rPr>
          <w:rFonts w:ascii="Arial" w:hAnsi="Arial" w:cs="Arial"/>
          <w:i/>
          <w:sz w:val="20"/>
          <w:szCs w:val="20"/>
          <w:vertAlign w:val="superscript"/>
        </w:rPr>
        <w:t>2</w:t>
      </w:r>
      <w:r w:rsidRPr="00E53FEF">
        <w:rPr>
          <w:rFonts w:ascii="Arial" w:hAnsi="Arial" w:cs="Arial"/>
          <w:i/>
          <w:sz w:val="20"/>
          <w:szCs w:val="20"/>
        </w:rPr>
        <w:t>)</w:t>
      </w:r>
      <w:r w:rsidRPr="00E53FEF">
        <w:rPr>
          <w:rFonts w:ascii="Arial" w:hAnsi="Arial" w:cs="Arial"/>
          <w:sz w:val="20"/>
          <w:szCs w:val="20"/>
        </w:rPr>
        <w:t xml:space="preserve"> menggunakan metode koreksi </w:t>
      </w:r>
      <w:r w:rsidRPr="00E53FEF">
        <w:rPr>
          <w:rFonts w:ascii="Arial" w:hAnsi="Arial" w:cs="Arial"/>
          <w:i/>
          <w:sz w:val="20"/>
          <w:szCs w:val="20"/>
        </w:rPr>
        <w:t>Yates</w:t>
      </w:r>
      <w:r w:rsidRPr="00E53FEF">
        <w:rPr>
          <w:rFonts w:ascii="Arial" w:hAnsi="Arial" w:cs="Arial"/>
          <w:sz w:val="20"/>
          <w:szCs w:val="20"/>
        </w:rPr>
        <w:t xml:space="preserve"> didapatkan nilai p=0,015 (p &lt; 0,05) pada mahasiswa dengan hipertensi. Terdapat hubungan yang bermakna antara subyek penelitian hipertensi yang merokok terhadap proteinuria.</w:t>
      </w:r>
    </w:p>
    <w:p w:rsidR="00E53FEF" w:rsidRDefault="00E53FEF" w:rsidP="00E53FEF">
      <w:pPr>
        <w:ind w:firstLine="720"/>
        <w:rPr>
          <w:rFonts w:ascii="Arial" w:hAnsi="Arial" w:cs="Arial"/>
          <w:sz w:val="20"/>
          <w:szCs w:val="20"/>
        </w:rPr>
      </w:pPr>
      <w:r w:rsidRPr="00E53FEF">
        <w:rPr>
          <w:rFonts w:ascii="Arial" w:hAnsi="Arial" w:cs="Arial"/>
          <w:sz w:val="20"/>
          <w:szCs w:val="20"/>
        </w:rPr>
        <w:t>Berdasarkan hasil uji statistik, didapatkan nilai OR = 3,556 dengan selang kepercayaan (</w:t>
      </w:r>
      <w:r w:rsidRPr="00E53FEF">
        <w:rPr>
          <w:rFonts w:ascii="Arial" w:hAnsi="Arial" w:cs="Arial"/>
          <w:i/>
          <w:sz w:val="20"/>
          <w:szCs w:val="20"/>
        </w:rPr>
        <w:t>Confidence Interval</w:t>
      </w:r>
      <w:r w:rsidRPr="00E53FEF">
        <w:rPr>
          <w:rFonts w:ascii="Arial" w:hAnsi="Arial" w:cs="Arial"/>
          <w:sz w:val="20"/>
          <w:szCs w:val="20"/>
        </w:rPr>
        <w:t xml:space="preserve">) didapatkan </w:t>
      </w:r>
      <w:r w:rsidRPr="00E53FEF">
        <w:rPr>
          <w:rFonts w:ascii="Arial" w:hAnsi="Arial" w:cs="Arial"/>
          <w:bCs/>
          <w:sz w:val="20"/>
          <w:szCs w:val="20"/>
        </w:rPr>
        <w:t xml:space="preserve">[(1,047),(12,070)], </w:t>
      </w:r>
      <w:r w:rsidRPr="00E53FEF">
        <w:rPr>
          <w:rFonts w:ascii="Arial" w:hAnsi="Arial" w:cs="Arial"/>
          <w:sz w:val="20"/>
          <w:szCs w:val="20"/>
        </w:rPr>
        <w:t>pada selang kepercayaan (</w:t>
      </w:r>
      <w:r w:rsidRPr="00E53FEF">
        <w:rPr>
          <w:rFonts w:ascii="Arial" w:hAnsi="Arial" w:cs="Arial"/>
          <w:i/>
          <w:sz w:val="20"/>
          <w:szCs w:val="20"/>
        </w:rPr>
        <w:t>Confidence Interval</w:t>
      </w:r>
      <w:r w:rsidRPr="00E53FEF">
        <w:rPr>
          <w:rFonts w:ascii="Arial" w:hAnsi="Arial" w:cs="Arial"/>
          <w:sz w:val="20"/>
          <w:szCs w:val="20"/>
        </w:rPr>
        <w:t xml:space="preserve">) mengandung nilai </w:t>
      </w:r>
      <w:r w:rsidRPr="00E53FEF">
        <w:rPr>
          <w:rFonts w:ascii="Arial" w:hAnsi="Arial" w:cs="Arial"/>
          <w:i/>
          <w:sz w:val="20"/>
          <w:szCs w:val="20"/>
        </w:rPr>
        <w:t>odds ratio</w:t>
      </w:r>
      <w:r w:rsidRPr="00E53FEF">
        <w:rPr>
          <w:rFonts w:ascii="Arial" w:hAnsi="Arial" w:cs="Arial"/>
          <w:sz w:val="20"/>
          <w:szCs w:val="20"/>
        </w:rPr>
        <w:t xml:space="preserve"> 1, sehingga menunjukkan ada hubungan antara merokok dengan proteinuria pada taraf signifikan 5% dengan risiko subyek perokok untuk mengalami proteinuria sekitar 3 kali lebih besar dibandingkan bukan perokok.</w:t>
      </w:r>
    </w:p>
    <w:p w:rsidR="00E53FEF" w:rsidRDefault="00E53FEF" w:rsidP="00E53FEF">
      <w:pPr>
        <w:rPr>
          <w:rFonts w:ascii="Arial" w:hAnsi="Arial" w:cs="Arial"/>
          <w:sz w:val="20"/>
          <w:szCs w:val="20"/>
          <w:lang w:val="pt-BR"/>
        </w:rPr>
      </w:pPr>
    </w:p>
    <w:p w:rsidR="00E53FEF" w:rsidRPr="00E53FEF" w:rsidRDefault="00E53FEF" w:rsidP="00E53FEF">
      <w:pPr>
        <w:rPr>
          <w:rFonts w:ascii="Arial" w:hAnsi="Arial" w:cs="Arial"/>
          <w:b/>
          <w:sz w:val="20"/>
          <w:szCs w:val="20"/>
        </w:rPr>
      </w:pPr>
      <w:r w:rsidRPr="00E53FEF">
        <w:rPr>
          <w:rFonts w:ascii="Arial" w:hAnsi="Arial" w:cs="Arial"/>
          <w:b/>
          <w:sz w:val="20"/>
          <w:szCs w:val="20"/>
        </w:rPr>
        <w:t>Pembahasan</w:t>
      </w:r>
    </w:p>
    <w:p w:rsidR="00E53FEF" w:rsidRPr="00E53FEF" w:rsidRDefault="00E53FEF" w:rsidP="00E53FEF">
      <w:pPr>
        <w:ind w:firstLine="720"/>
        <w:rPr>
          <w:rFonts w:ascii="Arial" w:hAnsi="Arial" w:cs="Arial"/>
          <w:bCs/>
          <w:sz w:val="20"/>
          <w:szCs w:val="20"/>
        </w:rPr>
      </w:pPr>
      <w:r w:rsidRPr="00E53FEF">
        <w:rPr>
          <w:rFonts w:ascii="Arial" w:hAnsi="Arial" w:cs="Arial"/>
          <w:bCs/>
          <w:sz w:val="20"/>
          <w:szCs w:val="20"/>
        </w:rPr>
        <w:t>Hasil penelitian serupa dilaporkan oleh Orth, pada perokok dengan hipertensi didapatkan risiko terjadinya proteinuria 3.7 kali lebih tinggi dibandingkan bukan perokok.</w:t>
      </w:r>
      <w:r w:rsidRPr="00E53FEF">
        <w:rPr>
          <w:rFonts w:ascii="Arial" w:hAnsi="Arial" w:cs="Arial"/>
          <w:bCs/>
          <w:sz w:val="20"/>
          <w:szCs w:val="20"/>
          <w:vertAlign w:val="superscript"/>
        </w:rPr>
        <w:t>10</w:t>
      </w:r>
    </w:p>
    <w:p w:rsidR="00E53FEF" w:rsidRPr="00E53FEF" w:rsidRDefault="00E53FEF" w:rsidP="00E53FEF">
      <w:pPr>
        <w:ind w:firstLine="720"/>
        <w:rPr>
          <w:rFonts w:ascii="Arial" w:hAnsi="Arial" w:cs="Arial"/>
          <w:bCs/>
          <w:sz w:val="20"/>
          <w:szCs w:val="20"/>
        </w:rPr>
      </w:pPr>
      <w:r w:rsidRPr="00E53FEF">
        <w:rPr>
          <w:rFonts w:ascii="Arial" w:hAnsi="Arial" w:cs="Arial"/>
          <w:bCs/>
          <w:iCs/>
          <w:sz w:val="20"/>
          <w:szCs w:val="20"/>
          <w:lang w:val="nb-NO"/>
        </w:rPr>
        <w:t>Hasil penelitian ini sesuai dengan penelitian yang dilakukan NHANES (</w:t>
      </w:r>
      <w:r w:rsidRPr="00E53FEF">
        <w:rPr>
          <w:rFonts w:ascii="Arial" w:hAnsi="Arial" w:cs="Arial"/>
          <w:bCs/>
          <w:i/>
          <w:iCs/>
          <w:sz w:val="20"/>
          <w:szCs w:val="20"/>
          <w:lang w:val="nb-NO"/>
        </w:rPr>
        <w:t>National Health and Nutrition Examination Survey</w:t>
      </w:r>
      <w:r w:rsidRPr="00E53FEF">
        <w:rPr>
          <w:rFonts w:ascii="Arial" w:hAnsi="Arial" w:cs="Arial"/>
          <w:bCs/>
          <w:iCs/>
          <w:sz w:val="20"/>
          <w:szCs w:val="20"/>
          <w:lang w:val="nb-NO"/>
        </w:rPr>
        <w:t xml:space="preserve">) juga menunjukkan prevalensi proteinuria pada orang prehipertensi dan hipertensi lebih tinggi dibandingkan orang dengan tekanan darah optimal. Bila dibandingkan dengan partisipan dengan tekanan darah optimal, </w:t>
      </w:r>
      <w:r w:rsidRPr="00E53FEF">
        <w:rPr>
          <w:rFonts w:ascii="Arial" w:hAnsi="Arial" w:cs="Arial"/>
          <w:bCs/>
          <w:i/>
          <w:iCs/>
          <w:sz w:val="20"/>
          <w:szCs w:val="20"/>
          <w:lang w:val="nb-NO"/>
        </w:rPr>
        <w:t>odds ratio</w:t>
      </w:r>
      <w:r w:rsidRPr="00E53FEF">
        <w:rPr>
          <w:rFonts w:ascii="Arial" w:hAnsi="Arial" w:cs="Arial"/>
          <w:bCs/>
          <w:iCs/>
          <w:sz w:val="20"/>
          <w:szCs w:val="20"/>
          <w:lang w:val="nb-NO"/>
        </w:rPr>
        <w:t xml:space="preserve"> dan 95% interval kepercayaan untuk proteinuria adalah 1,3 (1,0-1,7; p=0,03) pada orang dengan prehipertensi, 2,3(1,8-3,0; p&lt;0,01) dengan hipertensi derajat 1, 4,8(3,7-6,3; p&lt;0,01) pada hipertensi derajat 2 dan 1,6 (1,3-2,1; p&lt;0,01) pada hipertensi yang terkontrol dengan pengobatan.</w:t>
      </w:r>
      <w:r w:rsidRPr="00E53FEF">
        <w:rPr>
          <w:rFonts w:ascii="Arial" w:hAnsi="Arial" w:cs="Arial"/>
          <w:bCs/>
          <w:iCs/>
          <w:sz w:val="20"/>
          <w:szCs w:val="20"/>
          <w:vertAlign w:val="superscript"/>
          <w:lang w:val="nb-NO"/>
        </w:rPr>
        <w:t>5</w:t>
      </w:r>
    </w:p>
    <w:p w:rsidR="00E53FEF" w:rsidRPr="00E53FEF" w:rsidRDefault="00E53FEF" w:rsidP="00E53FEF">
      <w:pPr>
        <w:ind w:firstLine="720"/>
        <w:rPr>
          <w:rFonts w:ascii="Arial" w:hAnsi="Arial" w:cs="Arial"/>
          <w:bCs/>
          <w:iCs/>
          <w:sz w:val="20"/>
          <w:szCs w:val="20"/>
        </w:rPr>
      </w:pPr>
      <w:r w:rsidRPr="00E53FEF">
        <w:rPr>
          <w:rFonts w:ascii="Arial" w:hAnsi="Arial" w:cs="Arial"/>
          <w:bCs/>
          <w:iCs/>
          <w:sz w:val="20"/>
          <w:szCs w:val="20"/>
          <w:lang w:val="nb-NO"/>
        </w:rPr>
        <w:t xml:space="preserve">Klarlund </w:t>
      </w:r>
      <w:r w:rsidRPr="00E53FEF">
        <w:rPr>
          <w:rFonts w:ascii="Arial" w:hAnsi="Arial" w:cs="Arial"/>
          <w:bCs/>
          <w:i/>
          <w:iCs/>
          <w:sz w:val="20"/>
          <w:szCs w:val="20"/>
          <w:lang w:val="nb-NO"/>
        </w:rPr>
        <w:t>et al.</w:t>
      </w:r>
      <w:r w:rsidRPr="00E53FEF">
        <w:rPr>
          <w:rFonts w:ascii="Arial" w:hAnsi="Arial" w:cs="Arial"/>
          <w:bCs/>
          <w:iCs/>
          <w:sz w:val="20"/>
          <w:szCs w:val="20"/>
          <w:lang w:val="nb-NO"/>
        </w:rPr>
        <w:t xml:space="preserve">  justru mendapatkan bahwa tidak terdapat hubungan antara merokok dengan proteinuria. </w:t>
      </w:r>
      <w:r w:rsidRPr="00E53FEF">
        <w:rPr>
          <w:rFonts w:ascii="Arial" w:hAnsi="Arial" w:cs="Arial"/>
          <w:bCs/>
          <w:iCs/>
          <w:sz w:val="20"/>
          <w:szCs w:val="20"/>
        </w:rPr>
        <w:t>Penelitian subyek dengan prehipertensi yang  berhenti merokok dibandingkan dengan perokok selama 26 minggu untuk mengetahui penurunan albumin urin, tidak ada perbedaan yang bermakna antara kedua kelompok (p=0.4).</w:t>
      </w:r>
      <w:r w:rsidRPr="00E53FEF">
        <w:rPr>
          <w:rFonts w:ascii="Arial" w:hAnsi="Arial" w:cs="Arial"/>
          <w:bCs/>
          <w:iCs/>
          <w:sz w:val="20"/>
          <w:szCs w:val="20"/>
          <w:vertAlign w:val="superscript"/>
        </w:rPr>
        <w:t>8</w:t>
      </w:r>
    </w:p>
    <w:p w:rsidR="00E53FEF" w:rsidRPr="00E53FEF" w:rsidRDefault="00E53FEF" w:rsidP="00E53FEF">
      <w:pPr>
        <w:ind w:firstLine="720"/>
        <w:rPr>
          <w:rFonts w:ascii="Arial" w:hAnsi="Arial" w:cs="Arial"/>
          <w:bCs/>
          <w:iCs/>
          <w:sz w:val="20"/>
          <w:szCs w:val="20"/>
          <w:lang w:val="nb-NO"/>
        </w:rPr>
      </w:pPr>
      <w:r w:rsidRPr="00E53FEF">
        <w:rPr>
          <w:rFonts w:ascii="Arial" w:hAnsi="Arial" w:cs="Arial"/>
          <w:bCs/>
          <w:iCs/>
          <w:sz w:val="20"/>
          <w:szCs w:val="20"/>
          <w:lang w:val="nb-NO"/>
        </w:rPr>
        <w:t>Rokok diketahui dapat meningkatkan tekanan darah melalui berbagai mekanisme yang menyebabkan ditemukannya protein dalam urin. Efek merokok pada fase akut yaitu meningkatkan pacuan simpatis yang akan berakibat pada peningkatan tekanan darah dan peningkatan denyut jantung dan menyebabkan resistensi pembuluh darah ginjal. Pada fase akut beberapa pembuluh darah juga sering mengalami vasokontriksi, sehingga pada perokok akut sering diikuti dengan peningkatan tahanan pembuluh darah ginjal yang menyebabkan penurunan laju filtrasi glomerulus.</w:t>
      </w:r>
      <w:r w:rsidRPr="00E53FEF">
        <w:rPr>
          <w:rFonts w:ascii="Arial" w:hAnsi="Arial" w:cs="Arial"/>
          <w:bCs/>
          <w:iCs/>
          <w:sz w:val="20"/>
          <w:szCs w:val="20"/>
          <w:vertAlign w:val="superscript"/>
          <w:lang w:val="nb-NO"/>
        </w:rPr>
        <w:t>10</w:t>
      </w:r>
    </w:p>
    <w:p w:rsidR="00E53FEF" w:rsidRPr="00E53FEF" w:rsidRDefault="00E53FEF" w:rsidP="00E53FEF">
      <w:pPr>
        <w:ind w:firstLine="720"/>
        <w:rPr>
          <w:rFonts w:ascii="Arial" w:hAnsi="Arial" w:cs="Arial"/>
          <w:bCs/>
          <w:iCs/>
          <w:sz w:val="20"/>
          <w:szCs w:val="20"/>
          <w:lang w:val="nb-NO"/>
        </w:rPr>
      </w:pPr>
      <w:r w:rsidRPr="00E53FEF">
        <w:rPr>
          <w:rFonts w:ascii="Arial" w:hAnsi="Arial" w:cs="Arial"/>
          <w:bCs/>
          <w:iCs/>
          <w:sz w:val="20"/>
          <w:szCs w:val="20"/>
          <w:lang w:val="nb-NO"/>
        </w:rPr>
        <w:t>Efek dari rokok juga meningkatkan tekanan kapiler intraglomerulus ditambah dengan kerusakan pembuluh darah. Penelitian menunjukkan bahwa rokok menyebabkan terjadinya atherosklerosis pada arteri ginjal dan hiperplasia intima arteri dan arteriol intrarenal. Rokok berefek toksik terhadap sel endotel melalui berbagai mekanisme. Hal ini diketahui bahwa kandungan karbon monoksida pada rokok menyebabkan hipoksia endotel. Terdapat pula penelitian bahwa rokok menyebabkan terjadinya stres oksidatif dan peningkatan adhesi monosit ke sel endotel.</w:t>
      </w:r>
      <w:r w:rsidR="007D7C2E">
        <w:rPr>
          <w:rFonts w:ascii="Arial" w:hAnsi="Arial" w:cs="Arial"/>
          <w:bCs/>
          <w:iCs/>
          <w:sz w:val="20"/>
          <w:szCs w:val="20"/>
          <w:vertAlign w:val="superscript"/>
          <w:lang w:val="nb-NO"/>
        </w:rPr>
        <w:t>10</w:t>
      </w:r>
      <w:r w:rsidRPr="00E53FEF">
        <w:rPr>
          <w:rFonts w:ascii="Arial" w:hAnsi="Arial" w:cs="Arial"/>
          <w:bCs/>
          <w:iCs/>
          <w:sz w:val="20"/>
          <w:szCs w:val="20"/>
          <w:lang w:val="nb-NO"/>
        </w:rPr>
        <w:t xml:space="preserve"> </w:t>
      </w:r>
    </w:p>
    <w:p w:rsidR="00E53FEF" w:rsidRPr="00E53FEF" w:rsidRDefault="00E53FEF" w:rsidP="00E53FEF">
      <w:pPr>
        <w:ind w:firstLine="720"/>
        <w:rPr>
          <w:rFonts w:ascii="Arial" w:hAnsi="Arial" w:cs="Arial"/>
          <w:bCs/>
          <w:iCs/>
          <w:sz w:val="20"/>
          <w:szCs w:val="20"/>
          <w:lang w:val="nb-NO"/>
        </w:rPr>
      </w:pPr>
      <w:r w:rsidRPr="00E53FEF">
        <w:rPr>
          <w:rFonts w:ascii="Arial" w:hAnsi="Arial" w:cs="Arial"/>
          <w:bCs/>
          <w:iCs/>
          <w:sz w:val="20"/>
          <w:szCs w:val="20"/>
          <w:lang w:val="nb-NO"/>
        </w:rPr>
        <w:t xml:space="preserve">Proteinuria merupakan penanda dari disfungsi endotel yang berhubungan dengan peningkatan morbiditas dan mortalitas terhadap sistem kardiovaskular, ginjal dan serebrovaskular. Proteinuria biasa ditemukan pada orang dengan hipertensi dan diabetes yang merupakan penyebab utama </w:t>
      </w:r>
      <w:r w:rsidRPr="00E53FEF">
        <w:rPr>
          <w:rFonts w:ascii="Arial" w:hAnsi="Arial" w:cs="Arial"/>
          <w:bCs/>
          <w:i/>
          <w:iCs/>
          <w:sz w:val="20"/>
          <w:szCs w:val="20"/>
          <w:lang w:val="nb-NO"/>
        </w:rPr>
        <w:t>End Stages Renal Disease</w:t>
      </w:r>
      <w:r w:rsidRPr="00E53FEF">
        <w:rPr>
          <w:rFonts w:ascii="Arial" w:hAnsi="Arial" w:cs="Arial"/>
          <w:bCs/>
          <w:iCs/>
          <w:sz w:val="20"/>
          <w:szCs w:val="20"/>
          <w:lang w:val="nb-NO"/>
        </w:rPr>
        <w:t xml:space="preserve"> di Amerika Serikat. Meski demikian hubungan proteinuria dengan hipertensi masih belum diketahui sepenuhnya.</w:t>
      </w:r>
      <w:r w:rsidRPr="00E53FEF">
        <w:rPr>
          <w:rFonts w:ascii="Arial" w:hAnsi="Arial" w:cs="Arial"/>
          <w:bCs/>
          <w:iCs/>
          <w:sz w:val="20"/>
          <w:szCs w:val="20"/>
          <w:vertAlign w:val="superscript"/>
          <w:lang w:val="nb-NO"/>
        </w:rPr>
        <w:t>5</w:t>
      </w:r>
    </w:p>
    <w:p w:rsidR="00E53FEF" w:rsidRPr="00E53FEF" w:rsidRDefault="00E53FEF" w:rsidP="00E53FEF">
      <w:pPr>
        <w:ind w:firstLine="720"/>
        <w:rPr>
          <w:rFonts w:ascii="Arial" w:hAnsi="Arial" w:cs="Arial"/>
          <w:sz w:val="20"/>
          <w:szCs w:val="20"/>
        </w:rPr>
      </w:pPr>
      <w:r w:rsidRPr="00E53FEF">
        <w:rPr>
          <w:rFonts w:ascii="Arial" w:hAnsi="Arial" w:cs="Arial"/>
          <w:sz w:val="20"/>
          <w:szCs w:val="20"/>
        </w:rPr>
        <w:t xml:space="preserve">Pada orang dengan hipertensi yang terkontrol dengan pengobatan, diketahui mempunyai kadar proteinuria yang lebih rendah dibandingkan dengan orang hipertensi tanpa pengobatan. Meskipun demikian, kadar proteinuria pada orang hipertensi terkontrol oleh pengobatan masih lebih tinggi daripada orang normal. Perkembangan dari prehipertensi menjadi hipertensi dapat terjadi secara cepat selama 4 tahun. </w:t>
      </w:r>
      <w:r w:rsidR="000F4B0E">
        <w:rPr>
          <w:rFonts w:ascii="Arial" w:hAnsi="Arial" w:cs="Arial"/>
          <w:sz w:val="20"/>
          <w:szCs w:val="20"/>
        </w:rPr>
        <w:t>P</w:t>
      </w:r>
      <w:r w:rsidRPr="00E53FEF">
        <w:rPr>
          <w:rFonts w:ascii="Arial" w:hAnsi="Arial" w:cs="Arial"/>
          <w:sz w:val="20"/>
          <w:szCs w:val="20"/>
        </w:rPr>
        <w:t>enelitian ini juga menganjurkan bagi orang dengan prehipertensi dan hipertensi derajat 1 untuk melakukan skrining dan intervensi farmakologi terhadap terjadinya proteinuria.</w:t>
      </w:r>
      <w:r w:rsidRPr="00E53FEF">
        <w:rPr>
          <w:rFonts w:ascii="Arial" w:hAnsi="Arial" w:cs="Arial"/>
          <w:sz w:val="20"/>
          <w:szCs w:val="20"/>
          <w:vertAlign w:val="superscript"/>
        </w:rPr>
        <w:t>5</w:t>
      </w:r>
    </w:p>
    <w:p w:rsidR="00E53FEF" w:rsidRPr="00E53FEF" w:rsidRDefault="00E53FEF" w:rsidP="00E53FEF">
      <w:pPr>
        <w:rPr>
          <w:rFonts w:ascii="Arial" w:hAnsi="Arial" w:cs="Arial"/>
          <w:sz w:val="20"/>
          <w:szCs w:val="20"/>
        </w:rPr>
      </w:pPr>
    </w:p>
    <w:p w:rsidR="00E53FEF" w:rsidRPr="00E53FEF" w:rsidRDefault="00E53FEF" w:rsidP="00E53FEF">
      <w:pPr>
        <w:rPr>
          <w:rFonts w:ascii="Arial" w:hAnsi="Arial" w:cs="Arial"/>
          <w:b/>
          <w:sz w:val="20"/>
          <w:szCs w:val="20"/>
          <w:lang w:val="pt-BR"/>
        </w:rPr>
      </w:pPr>
      <w:r w:rsidRPr="00E53FEF">
        <w:rPr>
          <w:rFonts w:ascii="Arial" w:hAnsi="Arial" w:cs="Arial"/>
          <w:b/>
          <w:sz w:val="20"/>
          <w:szCs w:val="20"/>
          <w:lang w:val="pt-BR"/>
        </w:rPr>
        <w:t>Kesimpulan</w:t>
      </w:r>
    </w:p>
    <w:p w:rsidR="00E53FEF" w:rsidRPr="00E53FEF" w:rsidRDefault="00E53FEF" w:rsidP="00E53FEF">
      <w:pPr>
        <w:pStyle w:val="ListParagraph"/>
        <w:numPr>
          <w:ilvl w:val="0"/>
          <w:numId w:val="9"/>
        </w:numPr>
        <w:spacing w:line="360" w:lineRule="auto"/>
        <w:ind w:left="450" w:hanging="270"/>
        <w:jc w:val="both"/>
        <w:rPr>
          <w:rFonts w:ascii="Arial" w:hAnsi="Arial" w:cs="Arial"/>
          <w:sz w:val="20"/>
          <w:szCs w:val="20"/>
        </w:rPr>
      </w:pPr>
      <w:r w:rsidRPr="00E53FEF">
        <w:rPr>
          <w:rFonts w:ascii="Arial" w:hAnsi="Arial" w:cs="Arial"/>
          <w:sz w:val="20"/>
          <w:szCs w:val="20"/>
        </w:rPr>
        <w:t>Terdapat hubungan yang bermakna antara proteinuria dengan kebiasaan merokok pada orang dengan prehipertensi. Merokok dapat meningkatkan kejadian protein</w:t>
      </w:r>
      <w:bookmarkStart w:id="0" w:name="_GoBack"/>
      <w:bookmarkEnd w:id="0"/>
      <w:r w:rsidRPr="00E53FEF">
        <w:rPr>
          <w:rFonts w:ascii="Arial" w:hAnsi="Arial" w:cs="Arial"/>
          <w:sz w:val="20"/>
          <w:szCs w:val="20"/>
        </w:rPr>
        <w:t xml:space="preserve">uria pada subyek prehipertensi sebanyak dua kali lipat dibandingkan bukan perokok. </w:t>
      </w:r>
    </w:p>
    <w:p w:rsidR="00E53FEF" w:rsidRPr="00E53FEF" w:rsidRDefault="00E53FEF" w:rsidP="00E53FEF">
      <w:pPr>
        <w:pStyle w:val="ListParagraph"/>
        <w:numPr>
          <w:ilvl w:val="0"/>
          <w:numId w:val="9"/>
        </w:numPr>
        <w:spacing w:line="360" w:lineRule="auto"/>
        <w:ind w:left="450" w:hanging="270"/>
        <w:jc w:val="both"/>
        <w:rPr>
          <w:rFonts w:ascii="Arial" w:hAnsi="Arial" w:cs="Arial"/>
          <w:sz w:val="20"/>
          <w:szCs w:val="20"/>
        </w:rPr>
      </w:pPr>
      <w:r w:rsidRPr="00E53FEF">
        <w:rPr>
          <w:rFonts w:ascii="Arial" w:hAnsi="Arial" w:cs="Arial"/>
          <w:sz w:val="20"/>
          <w:szCs w:val="20"/>
        </w:rPr>
        <w:t>Terdapat hubungan yang bermakna antara proteinuria dengan kebiasaan merokok pada orang dengan hipertensi. Merokok dapat meningkatkan kejadian proteinuria pada subyek hipertensi tiga kali lipat dibandingkan bukan perokok.</w:t>
      </w:r>
    </w:p>
    <w:p w:rsidR="00E53FEF" w:rsidRPr="00E53FEF" w:rsidRDefault="00E53FEF" w:rsidP="00E53FEF">
      <w:pPr>
        <w:rPr>
          <w:rFonts w:ascii="Arial" w:hAnsi="Arial" w:cs="Arial"/>
          <w:sz w:val="20"/>
          <w:szCs w:val="20"/>
        </w:rPr>
      </w:pPr>
    </w:p>
    <w:p w:rsidR="00E53FEF" w:rsidRDefault="00E53FEF" w:rsidP="00E53FEF">
      <w:pPr>
        <w:rPr>
          <w:rFonts w:ascii="Arial" w:hAnsi="Arial" w:cs="Arial"/>
          <w:sz w:val="20"/>
          <w:szCs w:val="20"/>
        </w:rPr>
      </w:pPr>
    </w:p>
    <w:p w:rsidR="00806DE6" w:rsidRDefault="00806DE6" w:rsidP="00E53FEF">
      <w:pPr>
        <w:rPr>
          <w:rFonts w:ascii="Arial" w:hAnsi="Arial" w:cs="Arial"/>
          <w:sz w:val="20"/>
          <w:szCs w:val="20"/>
        </w:rPr>
      </w:pPr>
    </w:p>
    <w:p w:rsidR="00806DE6" w:rsidRDefault="00806DE6" w:rsidP="00E53FEF">
      <w:pPr>
        <w:rPr>
          <w:rFonts w:ascii="Arial" w:hAnsi="Arial" w:cs="Arial"/>
          <w:sz w:val="20"/>
          <w:szCs w:val="20"/>
        </w:rPr>
      </w:pPr>
    </w:p>
    <w:p w:rsidR="00806DE6" w:rsidRPr="00E53FEF" w:rsidRDefault="00806DE6" w:rsidP="00E53FEF">
      <w:pPr>
        <w:rPr>
          <w:rFonts w:ascii="Arial" w:hAnsi="Arial" w:cs="Arial"/>
          <w:sz w:val="20"/>
          <w:szCs w:val="20"/>
        </w:rPr>
      </w:pPr>
    </w:p>
    <w:p w:rsidR="00E53FEF" w:rsidRPr="00E53FEF" w:rsidRDefault="00E53FEF" w:rsidP="008F7583">
      <w:pPr>
        <w:spacing w:after="200"/>
        <w:rPr>
          <w:rFonts w:ascii="Arial" w:hAnsi="Arial" w:cs="Arial"/>
          <w:b/>
          <w:sz w:val="20"/>
          <w:szCs w:val="20"/>
        </w:rPr>
      </w:pPr>
      <w:r w:rsidRPr="00E53FEF">
        <w:rPr>
          <w:rFonts w:ascii="Arial" w:hAnsi="Arial" w:cs="Arial"/>
          <w:b/>
          <w:sz w:val="20"/>
          <w:szCs w:val="20"/>
        </w:rPr>
        <w:t>DAFTAR PUSTAKA</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Tedjaksukmana P. Tatalaksana Hipertensi. </w:t>
      </w:r>
      <w:r w:rsidRPr="00E53FEF">
        <w:rPr>
          <w:rFonts w:ascii="Arial" w:hAnsi="Arial" w:cs="Arial"/>
          <w:i/>
          <w:sz w:val="20"/>
          <w:szCs w:val="20"/>
        </w:rPr>
        <w:t>Cermin Dunia Kedokteran</w:t>
      </w:r>
      <w:r w:rsidR="00390E45">
        <w:rPr>
          <w:rFonts w:ascii="Arial" w:hAnsi="Arial" w:cs="Arial"/>
          <w:i/>
          <w:sz w:val="20"/>
          <w:szCs w:val="20"/>
        </w:rPr>
        <w:t xml:space="preserve"> 2012</w:t>
      </w:r>
      <w:r w:rsidRPr="00E53FEF">
        <w:rPr>
          <w:rFonts w:ascii="Arial" w:hAnsi="Arial" w:cs="Arial"/>
          <w:i/>
          <w:sz w:val="20"/>
          <w:szCs w:val="20"/>
        </w:rPr>
        <w:t>,</w:t>
      </w:r>
      <w:r w:rsidRPr="00E53FEF">
        <w:rPr>
          <w:rFonts w:ascii="Arial" w:hAnsi="Arial" w:cs="Arial"/>
          <w:sz w:val="20"/>
          <w:szCs w:val="20"/>
        </w:rPr>
        <w:t xml:space="preserve"> Volume 39, No.4. Kalbe: Jakarta.</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Guo, X., Zou, L., Zhang, X. et al. Prehypertension: A Meta-Analysis of the Epidemiology, Risk Factors, and Predictors of Progression. </w:t>
      </w:r>
      <w:r w:rsidRPr="00E53FEF">
        <w:rPr>
          <w:rFonts w:ascii="Arial" w:hAnsi="Arial" w:cs="Arial"/>
          <w:i/>
          <w:sz w:val="20"/>
          <w:szCs w:val="20"/>
        </w:rPr>
        <w:t>Texas Heart Institute Journal</w:t>
      </w:r>
      <w:r w:rsidR="00390E45">
        <w:rPr>
          <w:rFonts w:ascii="Arial" w:hAnsi="Arial" w:cs="Arial"/>
          <w:i/>
          <w:sz w:val="20"/>
          <w:szCs w:val="20"/>
        </w:rPr>
        <w:t xml:space="preserve"> </w:t>
      </w:r>
      <w:r w:rsidR="00390E45">
        <w:rPr>
          <w:rFonts w:ascii="Arial" w:hAnsi="Arial" w:cs="Arial"/>
          <w:sz w:val="20"/>
          <w:szCs w:val="20"/>
        </w:rPr>
        <w:t>2011</w:t>
      </w:r>
      <w:r w:rsidRPr="00E53FEF">
        <w:rPr>
          <w:rFonts w:ascii="Arial" w:hAnsi="Arial" w:cs="Arial"/>
          <w:sz w:val="20"/>
          <w:szCs w:val="20"/>
        </w:rPr>
        <w:t xml:space="preserve"> ; 38(6): 643-52.</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Bawazier, L.A. Proteinuria in: Sudoyo, A.W, Setiyohadi, B, Alwi,I, Simandibrata, M. (eds) </w:t>
      </w:r>
      <w:r w:rsidRPr="00E53FEF">
        <w:rPr>
          <w:rFonts w:ascii="Arial" w:hAnsi="Arial" w:cs="Arial"/>
          <w:i/>
          <w:sz w:val="20"/>
          <w:szCs w:val="20"/>
        </w:rPr>
        <w:t>Buku Ajar Ilmu Penyakit Dalam FKUI ed.5 Jilid 2</w:t>
      </w:r>
      <w:r w:rsidRPr="00E53FEF">
        <w:rPr>
          <w:rFonts w:ascii="Arial" w:hAnsi="Arial" w:cs="Arial"/>
          <w:sz w:val="20"/>
          <w:szCs w:val="20"/>
        </w:rPr>
        <w:t>. Interna Publishing</w:t>
      </w:r>
      <w:r w:rsidR="00390E45">
        <w:rPr>
          <w:rFonts w:ascii="Arial" w:hAnsi="Arial" w:cs="Arial"/>
          <w:sz w:val="20"/>
          <w:szCs w:val="20"/>
        </w:rPr>
        <w:t xml:space="preserve"> </w:t>
      </w:r>
      <w:r w:rsidR="007F102E">
        <w:rPr>
          <w:rFonts w:ascii="Arial" w:hAnsi="Arial" w:cs="Arial"/>
          <w:sz w:val="20"/>
          <w:szCs w:val="20"/>
        </w:rPr>
        <w:t>2009</w:t>
      </w:r>
      <w:r w:rsidR="00390E45" w:rsidRPr="00E53FEF">
        <w:rPr>
          <w:rFonts w:ascii="Arial" w:hAnsi="Arial" w:cs="Arial"/>
          <w:sz w:val="20"/>
          <w:szCs w:val="20"/>
        </w:rPr>
        <w:t xml:space="preserve"> </w:t>
      </w:r>
      <w:r w:rsidRPr="00E53FEF">
        <w:rPr>
          <w:rFonts w:ascii="Arial" w:hAnsi="Arial" w:cs="Arial"/>
          <w:sz w:val="20"/>
          <w:szCs w:val="20"/>
        </w:rPr>
        <w:t>, Jakarta.</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Carroll, M.F. &amp; Temte, J.L. Proteinuria in adults: a diagnostic approach. </w:t>
      </w:r>
      <w:r w:rsidRPr="00E53FEF">
        <w:rPr>
          <w:rFonts w:ascii="Arial" w:hAnsi="Arial" w:cs="Arial"/>
          <w:i/>
          <w:sz w:val="20"/>
          <w:szCs w:val="20"/>
        </w:rPr>
        <w:t>Am Fam Physician</w:t>
      </w:r>
      <w:r w:rsidR="003C5BD2">
        <w:rPr>
          <w:rFonts w:ascii="Arial" w:hAnsi="Arial" w:cs="Arial"/>
          <w:i/>
          <w:sz w:val="20"/>
          <w:szCs w:val="20"/>
        </w:rPr>
        <w:t xml:space="preserve"> </w:t>
      </w:r>
      <w:r w:rsidR="003C5BD2">
        <w:rPr>
          <w:rFonts w:ascii="Arial" w:hAnsi="Arial" w:cs="Arial"/>
          <w:sz w:val="20"/>
          <w:szCs w:val="20"/>
        </w:rPr>
        <w:t>2000</w:t>
      </w:r>
      <w:r w:rsidRPr="00E53FEF">
        <w:rPr>
          <w:rFonts w:ascii="Arial" w:hAnsi="Arial" w:cs="Arial"/>
          <w:i/>
          <w:sz w:val="20"/>
          <w:szCs w:val="20"/>
        </w:rPr>
        <w:t xml:space="preserve">, </w:t>
      </w:r>
      <w:r w:rsidRPr="00E53FEF">
        <w:rPr>
          <w:rFonts w:ascii="Arial" w:hAnsi="Arial" w:cs="Arial"/>
          <w:sz w:val="20"/>
          <w:szCs w:val="20"/>
        </w:rPr>
        <w:t xml:space="preserve"> September 15; Vol. 62 No. 4 ;1333-40.</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Ogunniyi, M.O., Croft, J.B., Greenlund, K.J, et al. Racial/Ethnic Differences in Microalbuminuria Among Adults With Prehypertension and Hypertension: National Health and Nutrition Examination Survey (NHANES), 1999-2006. </w:t>
      </w:r>
      <w:r w:rsidRPr="00E53FEF">
        <w:rPr>
          <w:rFonts w:ascii="Arial" w:hAnsi="Arial" w:cs="Arial"/>
          <w:i/>
          <w:sz w:val="20"/>
          <w:szCs w:val="20"/>
        </w:rPr>
        <w:t>American Journal of Hypertension</w:t>
      </w:r>
      <w:r w:rsidR="00390E45">
        <w:rPr>
          <w:rFonts w:ascii="Arial" w:hAnsi="Arial" w:cs="Arial"/>
          <w:i/>
          <w:sz w:val="20"/>
          <w:szCs w:val="20"/>
        </w:rPr>
        <w:t xml:space="preserve"> </w:t>
      </w:r>
      <w:r w:rsidR="00390E45">
        <w:rPr>
          <w:rFonts w:ascii="Arial" w:hAnsi="Arial" w:cs="Arial"/>
          <w:sz w:val="20"/>
          <w:szCs w:val="20"/>
        </w:rPr>
        <w:t>2010</w:t>
      </w:r>
      <w:r w:rsidRPr="00E53FEF">
        <w:rPr>
          <w:rFonts w:ascii="Arial" w:hAnsi="Arial" w:cs="Arial"/>
          <w:i/>
          <w:sz w:val="20"/>
          <w:szCs w:val="20"/>
        </w:rPr>
        <w:t>,</w:t>
      </w:r>
      <w:r w:rsidRPr="00E53FEF">
        <w:rPr>
          <w:rFonts w:ascii="Arial" w:hAnsi="Arial" w:cs="Arial"/>
          <w:sz w:val="20"/>
          <w:szCs w:val="20"/>
        </w:rPr>
        <w:t xml:space="preserve"> Volume 23 Number 8: 859-864.</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Surahman, A.Z. Hubungan Lingkungan Akademik dengan Frekuensi Merokok pada Mahasiswa Laki-laki Perokok Kampus Terpadu Ngudi Waluyo Ungaran. STIKES Ngudi Waluyo Ungar</w:t>
      </w:r>
      <w:r w:rsidR="008F7583">
        <w:rPr>
          <w:rFonts w:ascii="Arial" w:hAnsi="Arial" w:cs="Arial"/>
          <w:sz w:val="20"/>
          <w:szCs w:val="20"/>
        </w:rPr>
        <w:t>an</w:t>
      </w:r>
      <w:r w:rsidRPr="00E53FEF">
        <w:rPr>
          <w:rFonts w:ascii="Arial" w:hAnsi="Arial" w:cs="Arial"/>
          <w:sz w:val="20"/>
          <w:szCs w:val="20"/>
        </w:rPr>
        <w:t>: Semarang</w:t>
      </w:r>
      <w:r w:rsidR="00390E45">
        <w:rPr>
          <w:rFonts w:ascii="Arial" w:hAnsi="Arial" w:cs="Arial"/>
          <w:sz w:val="20"/>
          <w:szCs w:val="20"/>
        </w:rPr>
        <w:t xml:space="preserve">, </w:t>
      </w:r>
      <w:r w:rsidR="00390E45" w:rsidRPr="00E53FEF">
        <w:rPr>
          <w:rFonts w:ascii="Arial" w:hAnsi="Arial" w:cs="Arial"/>
          <w:sz w:val="20"/>
          <w:szCs w:val="20"/>
        </w:rPr>
        <w:t>2013.</w:t>
      </w:r>
    </w:p>
    <w:p w:rsidR="00E53FEF" w:rsidRPr="00E53FEF" w:rsidRDefault="00E53FEF" w:rsidP="008F7583">
      <w:pPr>
        <w:numPr>
          <w:ilvl w:val="0"/>
          <w:numId w:val="7"/>
        </w:numPr>
        <w:ind w:left="540"/>
        <w:rPr>
          <w:rFonts w:ascii="Arial" w:hAnsi="Arial" w:cs="Arial"/>
          <w:bCs/>
          <w:iCs/>
          <w:sz w:val="20"/>
          <w:szCs w:val="20"/>
        </w:rPr>
      </w:pPr>
      <w:r w:rsidRPr="00E53FEF">
        <w:rPr>
          <w:rFonts w:ascii="Arial" w:hAnsi="Arial" w:cs="Arial"/>
          <w:sz w:val="20"/>
          <w:szCs w:val="20"/>
        </w:rPr>
        <w:t xml:space="preserve">Shah, H.  </w:t>
      </w:r>
      <w:r w:rsidRPr="00E53FEF">
        <w:rPr>
          <w:rFonts w:ascii="Arial" w:hAnsi="Arial" w:cs="Arial"/>
          <w:bCs/>
          <w:sz w:val="20"/>
          <w:szCs w:val="20"/>
        </w:rPr>
        <w:t xml:space="preserve">Incidence Of Microalbuminuria In Tobacco Chewers.  </w:t>
      </w:r>
      <w:r w:rsidRPr="00E53FEF">
        <w:rPr>
          <w:rFonts w:ascii="Arial" w:hAnsi="Arial" w:cs="Arial"/>
          <w:bCs/>
          <w:i/>
          <w:iCs/>
          <w:sz w:val="20"/>
          <w:szCs w:val="20"/>
        </w:rPr>
        <w:t>Indian Journal Of Clinical Biochemistry</w:t>
      </w:r>
      <w:r w:rsidR="00390E45">
        <w:rPr>
          <w:rFonts w:ascii="Arial" w:hAnsi="Arial" w:cs="Arial"/>
          <w:bCs/>
          <w:i/>
          <w:iCs/>
          <w:sz w:val="20"/>
          <w:szCs w:val="20"/>
        </w:rPr>
        <w:t xml:space="preserve"> </w:t>
      </w:r>
      <w:r w:rsidR="00390E45">
        <w:rPr>
          <w:rFonts w:ascii="Arial" w:hAnsi="Arial" w:cs="Arial"/>
          <w:sz w:val="20"/>
          <w:szCs w:val="20"/>
        </w:rPr>
        <w:t>2005</w:t>
      </w:r>
      <w:r w:rsidR="003C5BD2">
        <w:rPr>
          <w:rFonts w:ascii="Arial" w:hAnsi="Arial" w:cs="Arial"/>
          <w:sz w:val="20"/>
          <w:szCs w:val="20"/>
        </w:rPr>
        <w:t>,</w:t>
      </w:r>
      <w:r w:rsidRPr="00E53FEF">
        <w:rPr>
          <w:rFonts w:ascii="Arial" w:hAnsi="Arial" w:cs="Arial"/>
          <w:bCs/>
          <w:i/>
          <w:iCs/>
          <w:sz w:val="20"/>
          <w:szCs w:val="20"/>
        </w:rPr>
        <w:t xml:space="preserve"> </w:t>
      </w:r>
      <w:r w:rsidRPr="00E53FEF">
        <w:rPr>
          <w:rFonts w:ascii="Arial" w:hAnsi="Arial" w:cs="Arial"/>
          <w:bCs/>
          <w:iCs/>
          <w:sz w:val="20"/>
          <w:szCs w:val="20"/>
        </w:rPr>
        <w:t>Volume 20 Number 2 ; 189-191.</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Klarlund, M, Prieme, H, Loft,S, Poulsen, H.E. Smoking cessation does not change urinary albumin excretion in normal subjects, </w:t>
      </w:r>
      <w:r w:rsidRPr="003C5BD2">
        <w:rPr>
          <w:rFonts w:ascii="Arial" w:hAnsi="Arial" w:cs="Arial"/>
          <w:i/>
          <w:sz w:val="20"/>
          <w:szCs w:val="20"/>
        </w:rPr>
        <w:t>Scand J Clin Invest</w:t>
      </w:r>
      <w:r w:rsidR="00390E45">
        <w:rPr>
          <w:rFonts w:ascii="Arial" w:hAnsi="Arial" w:cs="Arial"/>
          <w:sz w:val="20"/>
          <w:szCs w:val="20"/>
        </w:rPr>
        <w:t xml:space="preserve"> 1997</w:t>
      </w:r>
      <w:r w:rsidRPr="00E53FEF">
        <w:rPr>
          <w:rFonts w:ascii="Arial" w:hAnsi="Arial" w:cs="Arial"/>
          <w:sz w:val="20"/>
          <w:szCs w:val="20"/>
        </w:rPr>
        <w:t>; 57:513-520.</w:t>
      </w:r>
    </w:p>
    <w:p w:rsidR="00E53FEF" w:rsidRPr="00E53FEF" w:rsidRDefault="00E53FEF" w:rsidP="008F7583">
      <w:pPr>
        <w:numPr>
          <w:ilvl w:val="0"/>
          <w:numId w:val="7"/>
        </w:numPr>
        <w:ind w:left="540"/>
        <w:rPr>
          <w:rFonts w:ascii="Arial" w:hAnsi="Arial" w:cs="Arial"/>
          <w:sz w:val="20"/>
          <w:szCs w:val="20"/>
        </w:rPr>
      </w:pPr>
      <w:r w:rsidRPr="00E53FEF">
        <w:rPr>
          <w:rFonts w:ascii="Arial" w:hAnsi="Arial" w:cs="Arial"/>
          <w:sz w:val="20"/>
          <w:szCs w:val="20"/>
        </w:rPr>
        <w:t xml:space="preserve">Sietsma </w:t>
      </w:r>
      <w:r w:rsidRPr="00E53FEF">
        <w:rPr>
          <w:rFonts w:ascii="Arial" w:hAnsi="Arial" w:cs="Arial"/>
          <w:i/>
          <w:sz w:val="20"/>
          <w:szCs w:val="20"/>
        </w:rPr>
        <w:t>et al</w:t>
      </w:r>
      <w:r w:rsidRPr="00E53FEF">
        <w:rPr>
          <w:rFonts w:ascii="Arial" w:hAnsi="Arial" w:cs="Arial"/>
          <w:sz w:val="20"/>
          <w:szCs w:val="20"/>
        </w:rPr>
        <w:t xml:space="preserve">. </w:t>
      </w:r>
      <w:r w:rsidRPr="00E53FEF">
        <w:rPr>
          <w:rFonts w:ascii="Arial" w:hAnsi="Arial" w:cs="Arial"/>
          <w:bCs/>
          <w:sz w:val="20"/>
          <w:szCs w:val="20"/>
        </w:rPr>
        <w:t>Smoking is Related to Albuminuria and Abnormal Renal Function in a Nondiabetic Persons</w:t>
      </w:r>
      <w:r w:rsidRPr="00E53FEF">
        <w:rPr>
          <w:rFonts w:ascii="Arial" w:hAnsi="Arial" w:cs="Arial"/>
          <w:b/>
          <w:bCs/>
          <w:sz w:val="20"/>
          <w:szCs w:val="20"/>
        </w:rPr>
        <w:t xml:space="preserve">. </w:t>
      </w:r>
      <w:r w:rsidRPr="00E53FEF">
        <w:rPr>
          <w:rFonts w:ascii="Arial" w:hAnsi="Arial" w:cs="Arial"/>
          <w:i/>
          <w:iCs/>
          <w:sz w:val="20"/>
          <w:szCs w:val="20"/>
        </w:rPr>
        <w:t>Annals of Internal Medicine</w:t>
      </w:r>
      <w:r w:rsidR="00390E45">
        <w:rPr>
          <w:rFonts w:ascii="Arial" w:hAnsi="Arial" w:cs="Arial"/>
          <w:i/>
          <w:iCs/>
          <w:sz w:val="20"/>
          <w:szCs w:val="20"/>
        </w:rPr>
        <w:t xml:space="preserve"> </w:t>
      </w:r>
      <w:r w:rsidR="00390E45">
        <w:rPr>
          <w:rFonts w:ascii="Arial" w:hAnsi="Arial" w:cs="Arial"/>
          <w:sz w:val="20"/>
          <w:szCs w:val="20"/>
        </w:rPr>
        <w:t>2000</w:t>
      </w:r>
      <w:r w:rsidRPr="00E53FEF">
        <w:rPr>
          <w:rFonts w:ascii="Arial" w:hAnsi="Arial" w:cs="Arial"/>
          <w:i/>
          <w:iCs/>
          <w:sz w:val="20"/>
          <w:szCs w:val="20"/>
        </w:rPr>
        <w:t xml:space="preserve">, </w:t>
      </w:r>
      <w:r w:rsidRPr="00E53FEF">
        <w:rPr>
          <w:rFonts w:ascii="Arial" w:hAnsi="Arial" w:cs="Arial"/>
          <w:iCs/>
          <w:sz w:val="20"/>
          <w:szCs w:val="20"/>
        </w:rPr>
        <w:t>Volume 133; 585-591</w:t>
      </w:r>
      <w:r w:rsidR="008F7583">
        <w:rPr>
          <w:rFonts w:ascii="Arial" w:hAnsi="Arial" w:cs="Arial"/>
          <w:iCs/>
          <w:sz w:val="20"/>
          <w:szCs w:val="20"/>
        </w:rPr>
        <w:t>.</w:t>
      </w:r>
    </w:p>
    <w:p w:rsidR="00E53FEF" w:rsidRPr="00E53FEF" w:rsidRDefault="00E53FEF" w:rsidP="008F7583">
      <w:pPr>
        <w:pStyle w:val="ListParagraph"/>
        <w:numPr>
          <w:ilvl w:val="0"/>
          <w:numId w:val="7"/>
        </w:numPr>
        <w:spacing w:line="360" w:lineRule="auto"/>
        <w:ind w:left="540"/>
        <w:jc w:val="both"/>
        <w:rPr>
          <w:rFonts w:ascii="Arial" w:hAnsi="Arial" w:cs="Arial"/>
          <w:sz w:val="20"/>
          <w:szCs w:val="20"/>
          <w:lang w:val="pt-BR"/>
        </w:rPr>
      </w:pPr>
      <w:r w:rsidRPr="00E53FEF">
        <w:rPr>
          <w:rFonts w:ascii="Arial" w:hAnsi="Arial" w:cs="Arial"/>
          <w:sz w:val="20"/>
          <w:szCs w:val="20"/>
        </w:rPr>
        <w:t>Orth et al. Smoking and the K</w:t>
      </w:r>
      <w:r w:rsidR="00CE1681">
        <w:rPr>
          <w:rFonts w:ascii="Arial" w:hAnsi="Arial" w:cs="Arial"/>
          <w:sz w:val="20"/>
          <w:szCs w:val="20"/>
        </w:rPr>
        <w:t>idney</w:t>
      </w:r>
      <w:r w:rsidRPr="00E53FEF">
        <w:rPr>
          <w:rFonts w:ascii="Arial" w:hAnsi="Arial" w:cs="Arial"/>
          <w:sz w:val="20"/>
          <w:szCs w:val="20"/>
        </w:rPr>
        <w:t xml:space="preserve">, </w:t>
      </w:r>
      <w:r w:rsidRPr="00E53FEF">
        <w:rPr>
          <w:rFonts w:ascii="Arial" w:hAnsi="Arial" w:cs="Arial"/>
          <w:i/>
          <w:sz w:val="20"/>
          <w:szCs w:val="20"/>
        </w:rPr>
        <w:t>Journal American Society Nephrology</w:t>
      </w:r>
      <w:r w:rsidR="00390E45">
        <w:rPr>
          <w:rFonts w:ascii="Arial" w:hAnsi="Arial" w:cs="Arial"/>
          <w:i/>
          <w:sz w:val="20"/>
          <w:szCs w:val="20"/>
        </w:rPr>
        <w:t xml:space="preserve"> </w:t>
      </w:r>
      <w:r w:rsidR="00390E45">
        <w:rPr>
          <w:rFonts w:ascii="Arial" w:hAnsi="Arial" w:cs="Arial"/>
          <w:sz w:val="20"/>
          <w:szCs w:val="20"/>
        </w:rPr>
        <w:t>2002</w:t>
      </w:r>
      <w:r w:rsidRPr="00E53FEF">
        <w:rPr>
          <w:rFonts w:ascii="Arial" w:hAnsi="Arial" w:cs="Arial"/>
          <w:i/>
          <w:sz w:val="20"/>
          <w:szCs w:val="20"/>
        </w:rPr>
        <w:t xml:space="preserve">, </w:t>
      </w:r>
      <w:r w:rsidRPr="00E53FEF">
        <w:rPr>
          <w:rFonts w:ascii="Arial" w:hAnsi="Arial" w:cs="Arial"/>
          <w:sz w:val="20"/>
          <w:szCs w:val="20"/>
        </w:rPr>
        <w:t>Volume 13 ; 1663–1672</w:t>
      </w:r>
      <w:r w:rsidR="008F7583">
        <w:rPr>
          <w:rFonts w:ascii="Arial" w:hAnsi="Arial" w:cs="Arial"/>
          <w:sz w:val="20"/>
          <w:szCs w:val="20"/>
        </w:rPr>
        <w:t>.</w:t>
      </w:r>
    </w:p>
    <w:sectPr w:rsidR="00E53FEF" w:rsidRPr="00E53FEF" w:rsidSect="004570BE">
      <w:type w:val="continuous"/>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C1" w:rsidRDefault="00F354C1" w:rsidP="002C79C9">
      <w:pPr>
        <w:spacing w:line="240" w:lineRule="auto"/>
      </w:pPr>
      <w:r>
        <w:separator/>
      </w:r>
    </w:p>
  </w:endnote>
  <w:endnote w:type="continuationSeparator" w:id="0">
    <w:p w:rsidR="00F354C1" w:rsidRDefault="00F354C1" w:rsidP="002C7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C1" w:rsidRDefault="00F354C1" w:rsidP="002C79C9">
      <w:pPr>
        <w:spacing w:line="240" w:lineRule="auto"/>
      </w:pPr>
      <w:r>
        <w:separator/>
      </w:r>
    </w:p>
  </w:footnote>
  <w:footnote w:type="continuationSeparator" w:id="0">
    <w:p w:rsidR="00F354C1" w:rsidRDefault="00F354C1" w:rsidP="002C79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448536"/>
      <w:docPartObj>
        <w:docPartGallery w:val="Page Numbers (Top of Page)"/>
        <w:docPartUnique/>
      </w:docPartObj>
    </w:sdtPr>
    <w:sdtEndPr>
      <w:rPr>
        <w:noProof/>
      </w:rPr>
    </w:sdtEndPr>
    <w:sdtContent>
      <w:p w:rsidR="002C79C9" w:rsidRDefault="002C79C9">
        <w:pPr>
          <w:pStyle w:val="Header"/>
          <w:jc w:val="right"/>
        </w:pPr>
        <w:r>
          <w:fldChar w:fldCharType="begin"/>
        </w:r>
        <w:r>
          <w:instrText xml:space="preserve"> PAGE   \* MERGEFORMAT </w:instrText>
        </w:r>
        <w:r>
          <w:fldChar w:fldCharType="separate"/>
        </w:r>
        <w:r w:rsidR="00F354C1">
          <w:rPr>
            <w:noProof/>
          </w:rPr>
          <w:t>1</w:t>
        </w:r>
        <w:r>
          <w:rPr>
            <w:noProof/>
          </w:rPr>
          <w:fldChar w:fldCharType="end"/>
        </w:r>
      </w:p>
    </w:sdtContent>
  </w:sdt>
  <w:p w:rsidR="002C79C9" w:rsidRDefault="002C7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946"/>
    <w:multiLevelType w:val="hybridMultilevel"/>
    <w:tmpl w:val="FC40E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C323D"/>
    <w:multiLevelType w:val="hybridMultilevel"/>
    <w:tmpl w:val="11EAB84C"/>
    <w:lvl w:ilvl="0" w:tplc="7B4C98B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022445"/>
    <w:multiLevelType w:val="hybridMultilevel"/>
    <w:tmpl w:val="98186108"/>
    <w:lvl w:ilvl="0" w:tplc="AFFCE08A">
      <w:start w:val="46"/>
      <w:numFmt w:val="bullet"/>
      <w:lvlText w:val="-"/>
      <w:lvlJc w:val="left"/>
      <w:pPr>
        <w:ind w:left="1245" w:hanging="360"/>
      </w:pPr>
      <w:rPr>
        <w:rFonts w:ascii="Arial" w:eastAsiaTheme="minorHAnsi" w:hAnsi="Aria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2D0B478D"/>
    <w:multiLevelType w:val="hybridMultilevel"/>
    <w:tmpl w:val="F19A4AB6"/>
    <w:lvl w:ilvl="0" w:tplc="CF626876">
      <w:start w:val="46"/>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59789C"/>
    <w:multiLevelType w:val="hybridMultilevel"/>
    <w:tmpl w:val="9EEAE664"/>
    <w:lvl w:ilvl="0" w:tplc="7B4C98B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3187A"/>
    <w:multiLevelType w:val="hybridMultilevel"/>
    <w:tmpl w:val="B2DE8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E3582"/>
    <w:multiLevelType w:val="hybridMultilevel"/>
    <w:tmpl w:val="DAE64880"/>
    <w:lvl w:ilvl="0" w:tplc="3C8C3530">
      <w:start w:val="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62D25"/>
    <w:multiLevelType w:val="hybridMultilevel"/>
    <w:tmpl w:val="EA42A9B8"/>
    <w:lvl w:ilvl="0" w:tplc="7EB2D58C">
      <w:start w:val="46"/>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753F433E"/>
    <w:multiLevelType w:val="hybridMultilevel"/>
    <w:tmpl w:val="EAC8C376"/>
    <w:lvl w:ilvl="0" w:tplc="A672D4E4">
      <w:start w:val="46"/>
      <w:numFmt w:val="bullet"/>
      <w:lvlText w:val="-"/>
      <w:lvlJc w:val="left"/>
      <w:pPr>
        <w:ind w:left="1380" w:hanging="360"/>
      </w:pPr>
      <w:rPr>
        <w:rFonts w:ascii="Arial" w:eastAsia="Calibri" w:hAnsi="Arial" w:cs="Aria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7C"/>
    <w:rsid w:val="00073E38"/>
    <w:rsid w:val="00074A1D"/>
    <w:rsid w:val="0007753A"/>
    <w:rsid w:val="00095AAC"/>
    <w:rsid w:val="000A2C74"/>
    <w:rsid w:val="000F4B0E"/>
    <w:rsid w:val="00121EBD"/>
    <w:rsid w:val="00126061"/>
    <w:rsid w:val="00190D11"/>
    <w:rsid w:val="001B165B"/>
    <w:rsid w:val="001C3A3C"/>
    <w:rsid w:val="001F06C8"/>
    <w:rsid w:val="00230B05"/>
    <w:rsid w:val="00286E14"/>
    <w:rsid w:val="00291BCD"/>
    <w:rsid w:val="002A16B5"/>
    <w:rsid w:val="002C79C9"/>
    <w:rsid w:val="002E6AE9"/>
    <w:rsid w:val="002F6E1E"/>
    <w:rsid w:val="002F7F64"/>
    <w:rsid w:val="00333A15"/>
    <w:rsid w:val="00354E20"/>
    <w:rsid w:val="00365C5E"/>
    <w:rsid w:val="00373451"/>
    <w:rsid w:val="00390E45"/>
    <w:rsid w:val="003A6BAD"/>
    <w:rsid w:val="003C0BD1"/>
    <w:rsid w:val="003C5BD2"/>
    <w:rsid w:val="003E3799"/>
    <w:rsid w:val="00433E53"/>
    <w:rsid w:val="00434FF0"/>
    <w:rsid w:val="004570BE"/>
    <w:rsid w:val="0047100E"/>
    <w:rsid w:val="00475D2D"/>
    <w:rsid w:val="004D1C2D"/>
    <w:rsid w:val="004E0D22"/>
    <w:rsid w:val="00512913"/>
    <w:rsid w:val="00515DCB"/>
    <w:rsid w:val="005635FD"/>
    <w:rsid w:val="005A435D"/>
    <w:rsid w:val="005F70C4"/>
    <w:rsid w:val="00601255"/>
    <w:rsid w:val="00606994"/>
    <w:rsid w:val="00646CAF"/>
    <w:rsid w:val="00656B2D"/>
    <w:rsid w:val="00683F4F"/>
    <w:rsid w:val="006A350D"/>
    <w:rsid w:val="006C6033"/>
    <w:rsid w:val="00775ACA"/>
    <w:rsid w:val="007D38DF"/>
    <w:rsid w:val="007D7C2E"/>
    <w:rsid w:val="007F102E"/>
    <w:rsid w:val="00803446"/>
    <w:rsid w:val="00806DE6"/>
    <w:rsid w:val="00851653"/>
    <w:rsid w:val="008A48AB"/>
    <w:rsid w:val="008F7583"/>
    <w:rsid w:val="00915104"/>
    <w:rsid w:val="0093101C"/>
    <w:rsid w:val="009B4FAE"/>
    <w:rsid w:val="00A10D1F"/>
    <w:rsid w:val="00A215DC"/>
    <w:rsid w:val="00A36F1F"/>
    <w:rsid w:val="00A82DC5"/>
    <w:rsid w:val="00AD1B74"/>
    <w:rsid w:val="00B1023E"/>
    <w:rsid w:val="00B208DE"/>
    <w:rsid w:val="00B707B6"/>
    <w:rsid w:val="00B75B4C"/>
    <w:rsid w:val="00C055D7"/>
    <w:rsid w:val="00C3527C"/>
    <w:rsid w:val="00C40DBB"/>
    <w:rsid w:val="00CE1681"/>
    <w:rsid w:val="00CE3144"/>
    <w:rsid w:val="00D56EF8"/>
    <w:rsid w:val="00DF13F7"/>
    <w:rsid w:val="00E139BF"/>
    <w:rsid w:val="00E53FEF"/>
    <w:rsid w:val="00EA6A77"/>
    <w:rsid w:val="00ED31A4"/>
    <w:rsid w:val="00ED48C7"/>
    <w:rsid w:val="00F354C1"/>
    <w:rsid w:val="00F41BDB"/>
    <w:rsid w:val="00F603B7"/>
    <w:rsid w:val="00F65977"/>
    <w:rsid w:val="00F8222B"/>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C62CD-E942-47C1-8675-6BF6A0C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7C"/>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1E"/>
    <w:pPr>
      <w:spacing w:after="160" w:line="259" w:lineRule="auto"/>
      <w:ind w:left="720"/>
      <w:contextualSpacing/>
      <w:jc w:val="left"/>
    </w:pPr>
    <w:rPr>
      <w:rFonts w:asciiTheme="minorHAnsi" w:eastAsiaTheme="minorHAnsi" w:hAnsiTheme="minorHAnsi" w:cstheme="minorBidi"/>
      <w:sz w:val="22"/>
    </w:rPr>
  </w:style>
  <w:style w:type="table" w:styleId="TableGrid">
    <w:name w:val="Table Grid"/>
    <w:basedOn w:val="TableNormal"/>
    <w:uiPriority w:val="39"/>
    <w:rsid w:val="00C4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79C9"/>
    <w:pPr>
      <w:tabs>
        <w:tab w:val="center" w:pos="4680"/>
        <w:tab w:val="right" w:pos="9360"/>
      </w:tabs>
      <w:spacing w:line="240" w:lineRule="auto"/>
    </w:pPr>
  </w:style>
  <w:style w:type="character" w:customStyle="1" w:styleId="HeaderChar">
    <w:name w:val="Header Char"/>
    <w:basedOn w:val="DefaultParagraphFont"/>
    <w:link w:val="Header"/>
    <w:uiPriority w:val="99"/>
    <w:rsid w:val="002C79C9"/>
    <w:rPr>
      <w:rFonts w:ascii="Times New Roman" w:eastAsia="Calibri" w:hAnsi="Times New Roman" w:cs="Times New Roman"/>
      <w:sz w:val="24"/>
    </w:rPr>
  </w:style>
  <w:style w:type="paragraph" w:styleId="Footer">
    <w:name w:val="footer"/>
    <w:basedOn w:val="Normal"/>
    <w:link w:val="FooterChar"/>
    <w:uiPriority w:val="99"/>
    <w:unhideWhenUsed/>
    <w:rsid w:val="002C79C9"/>
    <w:pPr>
      <w:tabs>
        <w:tab w:val="center" w:pos="4680"/>
        <w:tab w:val="right" w:pos="9360"/>
      </w:tabs>
      <w:spacing w:line="240" w:lineRule="auto"/>
    </w:pPr>
  </w:style>
  <w:style w:type="character" w:customStyle="1" w:styleId="FooterChar">
    <w:name w:val="Footer Char"/>
    <w:basedOn w:val="DefaultParagraphFont"/>
    <w:link w:val="Footer"/>
    <w:uiPriority w:val="99"/>
    <w:rsid w:val="002C79C9"/>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6069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7741-F38E-406D-9695-8B7D05B2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dc:creator>
  <cp:keywords/>
  <dc:description/>
  <cp:lastModifiedBy>yohan</cp:lastModifiedBy>
  <cp:revision>45</cp:revision>
  <cp:lastPrinted>2014-04-03T14:01:00Z</cp:lastPrinted>
  <dcterms:created xsi:type="dcterms:W3CDTF">2014-03-22T16:33:00Z</dcterms:created>
  <dcterms:modified xsi:type="dcterms:W3CDTF">2014-04-03T15:29:00Z</dcterms:modified>
</cp:coreProperties>
</file>