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96" w:rsidRDefault="00856865" w:rsidP="00856865">
      <w:pPr>
        <w:jc w:val="center"/>
        <w:rPr>
          <w:rFonts w:ascii="Times New Roman" w:hAnsi="Times New Roman" w:cs="Times New Roman"/>
          <w:b/>
          <w:sz w:val="24"/>
        </w:rPr>
      </w:pPr>
      <w:r w:rsidRPr="00856865">
        <w:rPr>
          <w:rFonts w:ascii="Times New Roman" w:hAnsi="Times New Roman" w:cs="Times New Roman"/>
          <w:b/>
          <w:sz w:val="24"/>
        </w:rPr>
        <w:t>PENYELESAIAN SENGKETA AKAD MUSYARAKAH MENURUUT HUKUMPOSITIF DI INDONESIA</w:t>
      </w:r>
    </w:p>
    <w:p w:rsidR="00856865" w:rsidRDefault="00856865" w:rsidP="00856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INDARYANA</w:t>
      </w:r>
    </w:p>
    <w:p w:rsidR="00856865" w:rsidRPr="008E47C8" w:rsidRDefault="008E47C8" w:rsidP="00856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D1A 109 </w:t>
      </w:r>
      <w:r>
        <w:rPr>
          <w:rFonts w:ascii="Times New Roman" w:hAnsi="Times New Roman" w:cs="Times New Roman"/>
          <w:b/>
          <w:sz w:val="24"/>
          <w:lang w:val="id-ID"/>
        </w:rPr>
        <w:t>160</w:t>
      </w:r>
    </w:p>
    <w:p w:rsidR="00856865" w:rsidRDefault="00856865" w:rsidP="00856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56865" w:rsidRDefault="00856865" w:rsidP="00856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HUKUM </w:t>
      </w:r>
    </w:p>
    <w:p w:rsidR="00856865" w:rsidRDefault="00856865" w:rsidP="00856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MATARAM</w:t>
      </w:r>
    </w:p>
    <w:p w:rsidR="00856865" w:rsidRDefault="00856865" w:rsidP="00856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2014</w:t>
      </w:r>
    </w:p>
    <w:p w:rsidR="00856865" w:rsidRDefault="00856865" w:rsidP="00856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56865" w:rsidRDefault="00856865" w:rsidP="00856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856865" w:rsidRDefault="00856865" w:rsidP="00856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56865" w:rsidRDefault="00856865" w:rsidP="00783BF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sengketa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musyarakah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84E29">
        <w:rPr>
          <w:rFonts w:ascii="Times New Roman" w:hAnsi="Times New Roman" w:cs="Times New Roman"/>
          <w:sz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musyarakah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normatif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="00783BFB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sengketa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musyarakah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litigasi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Putusan</w:t>
      </w:r>
      <w:proofErr w:type="spellEnd"/>
      <w:r>
        <w:rPr>
          <w:rFonts w:ascii="Times New Roman" w:hAnsi="Times New Roman" w:cs="Times New Roman"/>
          <w:sz w:val="24"/>
        </w:rPr>
        <w:t xml:space="preserve"> MK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93/PUU-X/2012, </w:t>
      </w:r>
      <w:proofErr w:type="spellStart"/>
      <w:r>
        <w:rPr>
          <w:rFonts w:ascii="Times New Roman" w:hAnsi="Times New Roman" w:cs="Times New Roman"/>
          <w:sz w:val="24"/>
        </w:rPr>
        <w:t>Undang-Undang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2006, </w:t>
      </w:r>
      <w:proofErr w:type="spellStart"/>
      <w:r>
        <w:rPr>
          <w:rFonts w:ascii="Times New Roman" w:hAnsi="Times New Roman" w:cs="Times New Roman"/>
          <w:sz w:val="24"/>
        </w:rPr>
        <w:t>Undang-Undang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2008,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litigasi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diatur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Undang-Undang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30 </w:t>
      </w:r>
      <w:proofErr w:type="spellStart"/>
      <w:r w:rsidR="00C84E29">
        <w:rPr>
          <w:rFonts w:ascii="Times New Roman" w:hAnsi="Times New Roman" w:cs="Times New Roman"/>
          <w:sz w:val="24"/>
        </w:rPr>
        <w:t>Tahun</w:t>
      </w:r>
      <w:proofErr w:type="spellEnd"/>
      <w:r w:rsidR="00C84E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1999,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2008.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sengketa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musyarakah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litigasi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Pengadilan</w:t>
      </w:r>
      <w:proofErr w:type="spellEnd"/>
      <w:r>
        <w:rPr>
          <w:rFonts w:ascii="Times New Roman" w:hAnsi="Times New Roman" w:cs="Times New Roman"/>
          <w:sz w:val="24"/>
        </w:rPr>
        <w:t xml:space="preserve"> Agama,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litigasi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musyawarah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Mediasi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</w:t>
      </w:r>
      <w:r w:rsidR="00C84E29">
        <w:rPr>
          <w:rFonts w:ascii="Times New Roman" w:hAnsi="Times New Roman" w:cs="Times New Roman"/>
          <w:sz w:val="24"/>
        </w:rPr>
        <w:t>rbenkkan</w:t>
      </w:r>
      <w:proofErr w:type="spellEnd"/>
      <w:r w:rsidR="00C84E2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4E29">
        <w:rPr>
          <w:rFonts w:ascii="Times New Roman" w:hAnsi="Times New Roman" w:cs="Times New Roman"/>
          <w:sz w:val="24"/>
        </w:rPr>
        <w:t>Badan</w:t>
      </w:r>
      <w:proofErr w:type="spellEnd"/>
      <w:r w:rsidR="00C84E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4E29">
        <w:rPr>
          <w:rFonts w:ascii="Times New Roman" w:hAnsi="Times New Roman" w:cs="Times New Roman"/>
          <w:sz w:val="24"/>
        </w:rPr>
        <w:t>Arbitrase</w:t>
      </w:r>
      <w:proofErr w:type="spellEnd"/>
      <w:r w:rsidR="00C84E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4E29">
        <w:rPr>
          <w:rFonts w:ascii="Times New Roman" w:hAnsi="Times New Roman" w:cs="Times New Roman"/>
          <w:sz w:val="24"/>
        </w:rPr>
        <w:t>Syari</w:t>
      </w:r>
      <w:r>
        <w:rPr>
          <w:rFonts w:ascii="Times New Roman" w:hAnsi="Times New Roman" w:cs="Times New Roman"/>
          <w:sz w:val="24"/>
        </w:rPr>
        <w:t>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Konsiliasi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negoisasi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783BFB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sengketa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musyarakah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Putusan</w:t>
      </w:r>
      <w:proofErr w:type="spellEnd"/>
      <w:r>
        <w:rPr>
          <w:rFonts w:ascii="Times New Roman" w:hAnsi="Times New Roman" w:cs="Times New Roman"/>
          <w:sz w:val="24"/>
        </w:rPr>
        <w:t xml:space="preserve"> MK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 93/</w:t>
      </w:r>
      <w:proofErr w:type="spellStart"/>
      <w:r>
        <w:rPr>
          <w:rFonts w:ascii="Times New Roman" w:hAnsi="Times New Roman" w:cs="Times New Roman"/>
          <w:sz w:val="24"/>
        </w:rPr>
        <w:t>puu</w:t>
      </w:r>
      <w:proofErr w:type="spellEnd"/>
      <w:r>
        <w:rPr>
          <w:rFonts w:ascii="Times New Roman" w:hAnsi="Times New Roman" w:cs="Times New Roman"/>
          <w:sz w:val="24"/>
        </w:rPr>
        <w:t xml:space="preserve">-X/2012, </w:t>
      </w:r>
      <w:proofErr w:type="spellStart"/>
      <w:r>
        <w:rPr>
          <w:rFonts w:ascii="Times New Roman" w:hAnsi="Times New Roman" w:cs="Times New Roman"/>
          <w:sz w:val="24"/>
        </w:rPr>
        <w:t>Undang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2006, </w:t>
      </w:r>
      <w:proofErr w:type="spellStart"/>
      <w:r>
        <w:rPr>
          <w:rFonts w:ascii="Times New Roman" w:hAnsi="Times New Roman" w:cs="Times New Roman"/>
          <w:sz w:val="24"/>
        </w:rPr>
        <w:t>Undang-Undang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1989,Undang-Undang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1999,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2008.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sengketa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litigasi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litigasi</w:t>
      </w:r>
      <w:proofErr w:type="spellEnd"/>
    </w:p>
    <w:p w:rsidR="00856865" w:rsidRDefault="00783BFB" w:rsidP="008568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Kata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Musyarakah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dan</w:t>
      </w:r>
      <w:r w:rsidR="008568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6865">
        <w:rPr>
          <w:rFonts w:ascii="Times New Roman" w:hAnsi="Times New Roman" w:cs="Times New Roman"/>
          <w:sz w:val="24"/>
        </w:rPr>
        <w:t>Penyelesaian</w:t>
      </w:r>
      <w:proofErr w:type="spellEnd"/>
      <w:r w:rsidR="008568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6865">
        <w:rPr>
          <w:rFonts w:ascii="Times New Roman" w:hAnsi="Times New Roman" w:cs="Times New Roman"/>
          <w:sz w:val="24"/>
        </w:rPr>
        <w:t>Sengketa</w:t>
      </w:r>
      <w:proofErr w:type="spellEnd"/>
      <w:r w:rsidR="008568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Syariah.</w:t>
      </w:r>
    </w:p>
    <w:p w:rsidR="00C84E29" w:rsidRDefault="00C84E29" w:rsidP="00C84E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</w:p>
    <w:p w:rsidR="00C84E29" w:rsidRPr="00783BFB" w:rsidRDefault="00C84E29" w:rsidP="00C84E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</w:p>
    <w:sectPr w:rsidR="00C84E29" w:rsidRPr="00783BFB" w:rsidSect="00856865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865"/>
    <w:rsid w:val="00087496"/>
    <w:rsid w:val="00101A04"/>
    <w:rsid w:val="00541A71"/>
    <w:rsid w:val="00686596"/>
    <w:rsid w:val="00783BFB"/>
    <w:rsid w:val="00856865"/>
    <w:rsid w:val="008E47C8"/>
    <w:rsid w:val="00C145BC"/>
    <w:rsid w:val="00C8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dodie</dc:creator>
  <cp:lastModifiedBy>Compaq</cp:lastModifiedBy>
  <cp:revision>7</cp:revision>
  <dcterms:created xsi:type="dcterms:W3CDTF">2014-06-05T19:42:00Z</dcterms:created>
  <dcterms:modified xsi:type="dcterms:W3CDTF">2014-04-17T02:40:00Z</dcterms:modified>
</cp:coreProperties>
</file>